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80" w:after="0"/>
      </w:pPr>
      <w:r>
        <w:t xml:space="preserve"/>
      </w:r>
    </w:p>
    <w:p>
      <w:pPr>
        <w:spacing w:before="0" w:after="80"/>
        <w:jc w:val="center"/>
      </w:pPr>
      <w:r>
        <w:rPr>
          <w:rFonts w:ascii="Arial" w:cs="Arial" w:eastAsia="Arial" w:hAnsi="Arial"/>
          <w:b/>
          <w:bCs/>
          <w:color w:val="2563EB"/>
          <w:sz w:val="52"/>
          <w:szCs w:val="52"/>
        </w:rPr>
        <w:t xml:space="preserve">BIZNESPLAN</w:t>
      </w:r>
    </w:p>
    <w:p>
      <w:pPr>
        <w:pBdr>
          <w:bottom w:val="single" w:color="2563EB" w:sz="8" w:space="8"/>
        </w:pBdr>
        <w:spacing w:before="0" w:after="200"/>
        <w:jc w:val="center"/>
      </w:pPr>
      <w:r>
        <w:rPr>
          <w:rFonts w:ascii="Arial" w:cs="Arial" w:eastAsia="Arial" w:hAnsi="Arial"/>
          <w:b/>
          <w:bCs/>
          <w:color w:val="1A1A2E"/>
          <w:sz w:val="30"/>
          <w:szCs w:val="30"/>
        </w:rPr>
        <w:t xml:space="preserve">SecondStyle — Internetowy sklep z odzieżą używaną</w:t>
      </w:r>
    </w:p>
    <w:p>
      <w:pPr>
        <w:spacing w:before="160" w:after="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BFDBFE" w:sz="1"/>
              <w:left w:val="single" w:color="BFDBFE" w:sz="1"/>
              <w:bottom w:val="single" w:color="BFDBFE" w:sz="1"/>
              <w:right w:val="single" w:color="BFDBFE" w:sz="1"/>
            </w:tcBorders>
            <w:shd w:fill="DBEAFE" w:val="clear"/>
            <w:tcMar>
              <w:top w:type="dxa" w:w="100"/>
              <w:left w:type="dxa" w:w="140"/>
              <w:bottom w:type="dxa" w:w="100"/>
              <w:right w:type="dxa" w:w="140"/>
            </w:tcMar>
          </w:tcPr>
          <w:p>
            <w:r>
              <w:rPr>
                <w:rFonts w:ascii="Arial" w:cs="Arial" w:eastAsia="Arial" w:hAnsi="Arial"/>
                <w:b/>
                <w:bCs/>
                <w:color w:val="1A1A2E"/>
                <w:sz w:val="20"/>
                <w:szCs w:val="20"/>
              </w:rPr>
              <w:t xml:space="preserve">Nazwa firmy</w:t>
            </w:r>
          </w:p>
        </w:tc>
        <w:tc>
          <w:tcPr>
            <w:tcW w:type="dxa" w:w="6240"/>
            <w:tcBorders>
              <w:top w:val="single" w:color="BFDBFE" w:sz="1"/>
              <w:left w:val="single" w:color="BFDBFE" w:sz="1"/>
              <w:bottom w:val="single" w:color="BFDBFE" w:sz="1"/>
              <w:right w:val="single" w:color="BFDBFE" w:sz="1"/>
            </w:tcBorders>
            <w:tcMar>
              <w:top w:type="dxa" w:w="100"/>
              <w:left w:type="dxa" w:w="140"/>
              <w:bottom w:type="dxa" w:w="100"/>
              <w:right w:type="dxa" w:w="140"/>
            </w:tcMar>
          </w:tcPr>
          <w:p>
            <w:r>
              <w:rPr>
                <w:rFonts w:ascii="Arial" w:cs="Arial" w:eastAsia="Arial" w:hAnsi="Arial"/>
                <w:sz w:val="20"/>
                <w:szCs w:val="20"/>
              </w:rPr>
              <w:t xml:space="preserve">SecondStyle Sp. z o.o.</w:t>
            </w:r>
          </w:p>
        </w:tc>
      </w:tr>
      <w:tr>
        <w:tc>
          <w:tcPr>
            <w:tcW w:type="dxa" w:w="3120"/>
            <w:tcBorders>
              <w:top w:val="single" w:color="BFDBFE" w:sz="1"/>
              <w:left w:val="single" w:color="BFDBFE" w:sz="1"/>
              <w:bottom w:val="single" w:color="BFDBFE" w:sz="1"/>
              <w:right w:val="single" w:color="BFDBFE" w:sz="1"/>
            </w:tcBorders>
            <w:shd w:fill="DBEAFE" w:val="clear"/>
            <w:tcMar>
              <w:top w:type="dxa" w:w="100"/>
              <w:left w:type="dxa" w:w="140"/>
              <w:bottom w:type="dxa" w:w="100"/>
              <w:right w:type="dxa" w:w="140"/>
            </w:tcMar>
          </w:tcPr>
          <w:p>
            <w:r>
              <w:rPr>
                <w:rFonts w:ascii="Arial" w:cs="Arial" w:eastAsia="Arial" w:hAnsi="Arial"/>
                <w:b/>
                <w:bCs/>
                <w:color w:val="1A1A2E"/>
                <w:sz w:val="20"/>
                <w:szCs w:val="20"/>
              </w:rPr>
              <w:t xml:space="preserve">Branża</w:t>
            </w:r>
          </w:p>
        </w:tc>
        <w:tc>
          <w:tcPr>
            <w:tcW w:type="dxa" w:w="6240"/>
            <w:tcBorders>
              <w:top w:val="single" w:color="BFDBFE" w:sz="1"/>
              <w:left w:val="single" w:color="BFDBFE" w:sz="1"/>
              <w:bottom w:val="single" w:color="BFDBFE" w:sz="1"/>
              <w:right w:val="single" w:color="BFDBFE" w:sz="1"/>
            </w:tcBorders>
            <w:tcMar>
              <w:top w:type="dxa" w:w="100"/>
              <w:left w:type="dxa" w:w="140"/>
              <w:bottom w:type="dxa" w:w="100"/>
              <w:right w:type="dxa" w:w="140"/>
            </w:tcMar>
          </w:tcPr>
          <w:p>
            <w:r>
              <w:rPr>
                <w:rFonts w:ascii="Arial" w:cs="Arial" w:eastAsia="Arial" w:hAnsi="Arial"/>
                <w:sz w:val="20"/>
                <w:szCs w:val="20"/>
              </w:rPr>
              <w:t xml:space="preserve">E-commerce / handel detaliczny odzieżą używaną</w:t>
            </w:r>
          </w:p>
        </w:tc>
      </w:tr>
      <w:tr>
        <w:tc>
          <w:tcPr>
            <w:tcW w:type="dxa" w:w="3120"/>
            <w:tcBorders>
              <w:top w:val="single" w:color="BFDBFE" w:sz="1"/>
              <w:left w:val="single" w:color="BFDBFE" w:sz="1"/>
              <w:bottom w:val="single" w:color="BFDBFE" w:sz="1"/>
              <w:right w:val="single" w:color="BFDBFE" w:sz="1"/>
            </w:tcBorders>
            <w:shd w:fill="DBEAFE" w:val="clear"/>
            <w:tcMar>
              <w:top w:type="dxa" w:w="100"/>
              <w:left w:type="dxa" w:w="140"/>
              <w:bottom w:type="dxa" w:w="100"/>
              <w:right w:type="dxa" w:w="140"/>
            </w:tcMar>
          </w:tcPr>
          <w:p>
            <w:r>
              <w:rPr>
                <w:rFonts w:ascii="Arial" w:cs="Arial" w:eastAsia="Arial" w:hAnsi="Arial"/>
                <w:b/>
                <w:bCs/>
                <w:color w:val="1A1A2E"/>
                <w:sz w:val="20"/>
                <w:szCs w:val="20"/>
              </w:rPr>
              <w:t xml:space="preserve">Model działalności</w:t>
            </w:r>
          </w:p>
        </w:tc>
        <w:tc>
          <w:tcPr>
            <w:tcW w:type="dxa" w:w="6240"/>
            <w:tcBorders>
              <w:top w:val="single" w:color="BFDBFE" w:sz="1"/>
              <w:left w:val="single" w:color="BFDBFE" w:sz="1"/>
              <w:bottom w:val="single" w:color="BFDBFE" w:sz="1"/>
              <w:right w:val="single" w:color="BFDBFE" w:sz="1"/>
            </w:tcBorders>
            <w:tcMar>
              <w:top w:type="dxa" w:w="100"/>
              <w:left w:type="dxa" w:w="140"/>
              <w:bottom w:type="dxa" w:w="100"/>
              <w:right w:type="dxa" w:w="140"/>
            </w:tcMar>
          </w:tcPr>
          <w:p>
            <w:r>
              <w:rPr>
                <w:rFonts w:ascii="Arial" w:cs="Arial" w:eastAsia="Arial" w:hAnsi="Arial"/>
                <w:sz w:val="20"/>
                <w:szCs w:val="20"/>
              </w:rPr>
              <w:t xml:space="preserve">Sprzedaż online (własny sklep + marketplace'y)</w:t>
            </w:r>
          </w:p>
        </w:tc>
      </w:tr>
      <w:tr>
        <w:tc>
          <w:tcPr>
            <w:tcW w:type="dxa" w:w="3120"/>
            <w:tcBorders>
              <w:top w:val="single" w:color="BFDBFE" w:sz="1"/>
              <w:left w:val="single" w:color="BFDBFE" w:sz="1"/>
              <w:bottom w:val="single" w:color="BFDBFE" w:sz="1"/>
              <w:right w:val="single" w:color="BFDBFE" w:sz="1"/>
            </w:tcBorders>
            <w:shd w:fill="DBEAFE" w:val="clear"/>
            <w:tcMar>
              <w:top w:type="dxa" w:w="100"/>
              <w:left w:type="dxa" w:w="140"/>
              <w:bottom w:type="dxa" w:w="100"/>
              <w:right w:type="dxa" w:w="140"/>
            </w:tcMar>
          </w:tcPr>
          <w:p>
            <w:r>
              <w:rPr>
                <w:rFonts w:ascii="Arial" w:cs="Arial" w:eastAsia="Arial" w:hAnsi="Arial"/>
                <w:b/>
                <w:bCs/>
                <w:color w:val="1A1A2E"/>
                <w:sz w:val="20"/>
                <w:szCs w:val="20"/>
              </w:rPr>
              <w:t xml:space="preserve">Planowana data rejestracji</w:t>
            </w:r>
          </w:p>
        </w:tc>
        <w:tc>
          <w:tcPr>
            <w:tcW w:type="dxa" w:w="6240"/>
            <w:tcBorders>
              <w:top w:val="single" w:color="BFDBFE" w:sz="1"/>
              <w:left w:val="single" w:color="BFDBFE" w:sz="1"/>
              <w:bottom w:val="single" w:color="BFDBFE" w:sz="1"/>
              <w:right w:val="single" w:color="BFDBFE" w:sz="1"/>
            </w:tcBorders>
            <w:tcMar>
              <w:top w:type="dxa" w:w="100"/>
              <w:left w:type="dxa" w:w="140"/>
              <w:bottom w:type="dxa" w:w="100"/>
              <w:right w:type="dxa" w:w="140"/>
            </w:tcMar>
          </w:tcPr>
          <w:p>
            <w:r>
              <w:rPr>
                <w:rFonts w:ascii="Arial" w:cs="Arial" w:eastAsia="Arial" w:hAnsi="Arial"/>
                <w:sz w:val="20"/>
                <w:szCs w:val="20"/>
              </w:rPr>
              <w:t xml:space="preserve">2025</w:t>
            </w:r>
          </w:p>
        </w:tc>
      </w:tr>
      <w:tr>
        <w:tc>
          <w:tcPr>
            <w:tcW w:type="dxa" w:w="3120"/>
            <w:tcBorders>
              <w:top w:val="single" w:color="BFDBFE" w:sz="1"/>
              <w:left w:val="single" w:color="BFDBFE" w:sz="1"/>
              <w:bottom w:val="single" w:color="BFDBFE" w:sz="1"/>
              <w:right w:val="single" w:color="BFDBFE" w:sz="1"/>
            </w:tcBorders>
            <w:shd w:fill="DBEAFE" w:val="clear"/>
            <w:tcMar>
              <w:top w:type="dxa" w:w="100"/>
              <w:left w:type="dxa" w:w="140"/>
              <w:bottom w:type="dxa" w:w="100"/>
              <w:right w:type="dxa" w:w="140"/>
            </w:tcMar>
          </w:tcPr>
          <w:p>
            <w:r>
              <w:rPr>
                <w:rFonts w:ascii="Arial" w:cs="Arial" w:eastAsia="Arial" w:hAnsi="Arial"/>
                <w:b/>
                <w:bCs/>
                <w:color w:val="1A1A2E"/>
                <w:sz w:val="20"/>
                <w:szCs w:val="20"/>
              </w:rPr>
              <w:t xml:space="preserve">Cel dokumentu</w:t>
            </w:r>
          </w:p>
        </w:tc>
        <w:tc>
          <w:tcPr>
            <w:tcW w:type="dxa" w:w="6240"/>
            <w:tcBorders>
              <w:top w:val="single" w:color="BFDBFE" w:sz="1"/>
              <w:left w:val="single" w:color="BFDBFE" w:sz="1"/>
              <w:bottom w:val="single" w:color="BFDBFE" w:sz="1"/>
              <w:right w:val="single" w:color="BFDBFE" w:sz="1"/>
            </w:tcBorders>
            <w:tcMar>
              <w:top w:type="dxa" w:w="100"/>
              <w:left w:type="dxa" w:w="140"/>
              <w:bottom w:type="dxa" w:w="100"/>
              <w:right w:type="dxa" w:w="140"/>
            </w:tcMar>
          </w:tcPr>
          <w:p>
            <w:r>
              <w:rPr>
                <w:rFonts w:ascii="Arial" w:cs="Arial" w:eastAsia="Arial" w:hAnsi="Arial"/>
                <w:sz w:val="20"/>
                <w:szCs w:val="20"/>
              </w:rPr>
              <w:t xml:space="preserve">Wniosek o dofinansowanie z urzędu pracy / biznesplan startowy</w:t>
            </w:r>
          </w:p>
        </w:tc>
      </w:tr>
    </w:tbl>
    <w:p>
      <w:pPr>
        <w:spacing w:before="200" w:after="0"/>
      </w:pPr>
      <w:r>
        <w:t xml:space="preserve"/>
      </w:r>
    </w:p>
    <w:p>
      <w:pPr>
        <w:jc w:val="center"/>
      </w:pPr>
      <w:r>
        <w:rPr>
          <w:rFonts w:ascii="Arial" w:cs="Arial" w:eastAsia="Arial" w:hAnsi="Arial"/>
          <w:color w:val="6B7280"/>
          <w:sz w:val="20"/>
          <w:szCs w:val="20"/>
        </w:rPr>
        <w:t xml:space="preserve">Data opracowania: 2025 r.</w:t>
      </w:r>
    </w:p>
    <w:p>
      <w:r>
        <w:br w:type="page"/>
      </w:r>
    </w:p>
    <w:p>
      <w:pPr>
        <w:pStyle w:val="Heading1"/>
        <w:pBdr>
          <w:bottom w:val="single" w:color="2563EB" w:sz="6" w:space="4"/>
        </w:pBdr>
        <w:spacing w:before="360" w:after="120"/>
      </w:pPr>
      <w:r>
        <w:rPr>
          <w:rFonts w:ascii="Arial" w:cs="Arial" w:eastAsia="Arial" w:hAnsi="Arial"/>
          <w:b/>
          <w:bCs/>
          <w:color w:val="1A1A2E"/>
          <w:sz w:val="28"/>
          <w:szCs w:val="28"/>
        </w:rPr>
        <w:t xml:space="preserve">1. Streszczenie wykonawcze</w:t>
      </w:r>
    </w:p>
    <w:p>
      <w:pPr>
        <w:spacing w:before="60" w:after="100"/>
        <w:jc w:val="both"/>
      </w:pPr>
      <w:r>
        <w:rPr>
          <w:rFonts w:ascii="Arial" w:cs="Arial" w:eastAsia="Arial" w:hAnsi="Arial"/>
          <w:color w:val="1A1A2E"/>
          <w:sz w:val="22"/>
          <w:szCs w:val="22"/>
        </w:rPr>
        <w:t xml:space="preserve">SecondStyle to nowo zakładana jednoosobowa działalność gospodarcza (lub sp. z o.o.) prowadząca sprzedaż odzieży używanej wyłącznie za pośrednictwem kanałów internetowych. Firma będzie pozyskiwać towar z indywidualnych skupów, sortowni, paczek hurtowych oraz aukcji. Sprzedaż odbywać się będzie przez własny sklep internetowy, a także przez platformy Vinted, OLX, Allegro i Instagram.</w:t>
      </w:r>
    </w:p>
    <w:p>
      <w:pPr>
        <w:spacing w:before="60" w:after="0"/>
      </w:pPr>
      <w:r>
        <w:t xml:space="preserve"/>
      </w:r>
    </w:p>
    <w:p>
      <w:pPr>
        <w:spacing w:before="60" w:after="100"/>
        <w:jc w:val="both"/>
      </w:pPr>
      <w:r>
        <w:rPr>
          <w:rFonts w:ascii="Arial" w:cs="Arial" w:eastAsia="Arial" w:hAnsi="Arial"/>
          <w:color w:val="1A1A2E"/>
          <w:sz w:val="22"/>
          <w:szCs w:val="22"/>
        </w:rPr>
        <w:t xml:space="preserve">Rynek odzieży z drugiego obiegu (second-hand, vintage, thrift) notuje dwucyfrowe wzrosty rok do roku w całej Europie. W Polsce segment ten dynamicznie się rozwija, napędzany rosnącą świadomością ekologiczną konsumentów, trendem na vintage oraz trudną sytuacją ekonomiczną, skłaniającą kupujących do poszukiwania tańszych alternatyw. Bariera wejścia dla nowego gracza internetowego jest relatywnie niska, a marże — przy odpowiednim selekcjonowaniu towaru — pozwalają na osiągnięcie rentowności już w pierwszych miesiącach działalności.</w:t>
      </w:r>
    </w:p>
    <w:p>
      <w:pPr>
        <w:spacing w:before="60" w:after="0"/>
      </w:pPr>
      <w:r>
        <w:t xml:space="preserve"/>
      </w:r>
    </w:p>
    <w:p>
      <w:pPr>
        <w:spacing w:before="60" w:after="100"/>
        <w:jc w:val="both"/>
      </w:pPr>
      <w:r>
        <w:rPr>
          <w:rFonts w:ascii="Arial" w:cs="Arial" w:eastAsia="Arial" w:hAnsi="Arial"/>
          <w:color w:val="1A1A2E"/>
          <w:sz w:val="22"/>
          <w:szCs w:val="22"/>
        </w:rPr>
        <w:t xml:space="preserve">Niniejszy biznesplan opisuje model operacyjny, analizę rynku i konkurencji, strategię marketingową oraz szczegółowe projekcje finansowe na pierwsze 12 miesięcy działalności. Całkowite nakłady startowe szacowane są na 8 000–10 000 zł, a próg rentowności planowany jest na 3.–4. miesiąc działalności.</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2. Opis firmy i model biznesowy</w:t>
      </w:r>
    </w:p>
    <w:p>
      <w:pPr>
        <w:pStyle w:val="Heading2"/>
        <w:spacing w:before="240" w:after="80"/>
      </w:pPr>
      <w:r>
        <w:rPr>
          <w:rFonts w:ascii="Arial" w:cs="Arial" w:eastAsia="Arial" w:hAnsi="Arial"/>
          <w:b/>
          <w:bCs/>
          <w:color w:val="2563EB"/>
          <w:sz w:val="24"/>
          <w:szCs w:val="24"/>
        </w:rPr>
        <w:t xml:space="preserve">2.1. Dane podstawowe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Parametr</w:t>
            </w:r>
          </w:p>
        </w:tc>
        <w:tc>
          <w:tcPr>
            <w:tcW w:type="dxa" w:w="63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Opis</w:t>
            </w:r>
          </w:p>
        </w:tc>
      </w:tr>
      <w:tr>
        <w:tc>
          <w:tcPr>
            <w:tcW w:type="dxa" w:w="30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Nazwa handlowa</w:t>
            </w:r>
          </w:p>
        </w:tc>
        <w:tc>
          <w:tcPr>
            <w:tcW w:type="dxa" w:w="6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SecondStyle</w:t>
            </w:r>
          </w:p>
        </w:tc>
      </w:tr>
      <w:tr>
        <w:tc>
          <w:tcPr>
            <w:tcW w:type="dxa" w:w="3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Forma prawna</w:t>
            </w:r>
          </w:p>
        </w:tc>
        <w:tc>
          <w:tcPr>
            <w:tcW w:type="dxa" w:w="6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Jednoosobowa działalność gospodarcza (JDG) lub sp. z o.o.</w:t>
            </w:r>
          </w:p>
        </w:tc>
      </w:tr>
      <w:tr>
        <w:tc>
          <w:tcPr>
            <w:tcW w:type="dxa" w:w="30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Siedziba</w:t>
            </w:r>
          </w:p>
        </w:tc>
        <w:tc>
          <w:tcPr>
            <w:tcW w:type="dxa" w:w="6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Rejestracja w miejscu zamieszkania właściciela / biuro wirtualne</w:t>
            </w:r>
          </w:p>
        </w:tc>
      </w:tr>
      <w:tr>
        <w:tc>
          <w:tcPr>
            <w:tcW w:type="dxa" w:w="3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PKD</w:t>
            </w:r>
          </w:p>
        </w:tc>
        <w:tc>
          <w:tcPr>
            <w:tcW w:type="dxa" w:w="6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47.91.Z — Sprzedaż detaliczna prowadzona przez domy sprzedaży wysyłkowej lub Internet</w:t>
            </w:r>
          </w:p>
        </w:tc>
      </w:tr>
      <w:tr>
        <w:tc>
          <w:tcPr>
            <w:tcW w:type="dxa" w:w="30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Kanały sprzedaży</w:t>
            </w:r>
          </w:p>
        </w:tc>
        <w:tc>
          <w:tcPr>
            <w:tcW w:type="dxa" w:w="6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Własny sklep www + Vinted, Allegro, OLX, Instagram Shop</w:t>
            </w:r>
          </w:p>
        </w:tc>
      </w:tr>
      <w:tr>
        <w:tc>
          <w:tcPr>
            <w:tcW w:type="dxa" w:w="3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Zasięg geograficzny</w:t>
            </w:r>
          </w:p>
        </w:tc>
        <w:tc>
          <w:tcPr>
            <w:tcW w:type="dxa" w:w="6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Polska; docelowo Europa (Vinted International)</w:t>
            </w:r>
          </w:p>
        </w:tc>
      </w:tr>
    </w:tbl>
    <w:p>
      <w:pPr>
        <w:spacing w:before="160" w:after="0"/>
      </w:pPr>
      <w:r>
        <w:t xml:space="preserve"/>
      </w:r>
    </w:p>
    <w:p>
      <w:pPr>
        <w:pStyle w:val="Heading2"/>
        <w:spacing w:before="240" w:after="80"/>
      </w:pPr>
      <w:r>
        <w:rPr>
          <w:rFonts w:ascii="Arial" w:cs="Arial" w:eastAsia="Arial" w:hAnsi="Arial"/>
          <w:b/>
          <w:bCs/>
          <w:color w:val="2563EB"/>
          <w:sz w:val="24"/>
          <w:szCs w:val="24"/>
        </w:rPr>
        <w:t xml:space="preserve">2.2. Opis działalności</w:t>
      </w:r>
    </w:p>
    <w:p>
      <w:pPr>
        <w:spacing w:before="60" w:after="100"/>
        <w:jc w:val="both"/>
      </w:pPr>
      <w:r>
        <w:rPr>
          <w:rFonts w:ascii="Arial" w:cs="Arial" w:eastAsia="Arial" w:hAnsi="Arial"/>
          <w:color w:val="1A1A2E"/>
          <w:sz w:val="22"/>
          <w:szCs w:val="22"/>
        </w:rPr>
        <w:t xml:space="preserve">Firma zajmuje się pozyskiwaniem, selekcjonowaniem, czyszczeniem, fotografowaniem i odsprzedażą odzieży używanej przez internet. Towar pochodzi z czterech źródeł: (1) indywidualnych skupów od osób prywatnych, (2) zakupu paczek hurtowych z sortowni, (3) aukcji i wyprzedaży garażowych, (4) współpracy z komisami i second-handami w zakresie towaru trudnorotującego.</w:t>
      </w:r>
    </w:p>
    <w:p>
      <w:pPr>
        <w:spacing w:before="60" w:after="0"/>
      </w:pPr>
      <w:r>
        <w:t xml:space="preserve"/>
      </w:r>
    </w:p>
    <w:p>
      <w:pPr>
        <w:spacing w:before="60" w:after="100"/>
        <w:jc w:val="both"/>
      </w:pPr>
      <w:r>
        <w:rPr>
          <w:rFonts w:ascii="Arial" w:cs="Arial" w:eastAsia="Arial" w:hAnsi="Arial"/>
          <w:color w:val="1A1A2E"/>
          <w:sz w:val="22"/>
          <w:szCs w:val="22"/>
        </w:rPr>
        <w:t xml:space="preserve">Przewaga konkurencyjna opiera się na wysokiej jakości selekcji i prezentacji produktu — starannych zdjęciach, dokładnych opisach stanu, właściwej wycenie oraz sprawnej obsłudze klienta. Firma nie prowadzi działalności stacjonarnej; wszystkie czynności magazynowe i pakowania realizowane są z wynajętego lub domowego miejsca pracy.</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3. Analiza rynku i otoczenia konkurencyjnego</w:t>
      </w:r>
    </w:p>
    <w:p>
      <w:pPr>
        <w:pStyle w:val="Heading2"/>
        <w:spacing w:before="240" w:after="80"/>
      </w:pPr>
      <w:r>
        <w:rPr>
          <w:rFonts w:ascii="Arial" w:cs="Arial" w:eastAsia="Arial" w:hAnsi="Arial"/>
          <w:b/>
          <w:bCs/>
          <w:color w:val="2563EB"/>
          <w:sz w:val="24"/>
          <w:szCs w:val="24"/>
        </w:rPr>
        <w:t xml:space="preserve">3.1. Charakterystyka rynku</w:t>
      </w:r>
    </w:p>
    <w:p>
      <w:pPr>
        <w:pStyle w:val="ListParagraph"/>
        <w:numPr>
          <w:ilvl w:val="0"/>
          <w:numId w:val="2"/>
        </w:numPr>
        <w:spacing w:before="40" w:after="40"/>
      </w:pPr>
      <w:r>
        <w:rPr>
          <w:rFonts w:ascii="Arial" w:cs="Arial" w:eastAsia="Arial" w:hAnsi="Arial"/>
          <w:color w:val="1A1A2E"/>
          <w:sz w:val="22"/>
          <w:szCs w:val="22"/>
        </w:rPr>
        <w:t xml:space="preserve">Globalny rynek odzieży używanej wyceniany jest na ok. 177 mld USD (2022) i prognozowany na ponad 350 mld USD do 2028 r. (raport ThredUp).</w:t>
      </w:r>
    </w:p>
    <w:p>
      <w:pPr>
        <w:pStyle w:val="ListParagraph"/>
        <w:numPr>
          <w:ilvl w:val="0"/>
          <w:numId w:val="2"/>
        </w:numPr>
        <w:spacing w:before="40" w:after="40"/>
      </w:pPr>
      <w:r>
        <w:rPr>
          <w:rFonts w:ascii="Arial" w:cs="Arial" w:eastAsia="Arial" w:hAnsi="Arial"/>
          <w:color w:val="1A1A2E"/>
          <w:sz w:val="22"/>
          <w:szCs w:val="22"/>
        </w:rPr>
        <w:t xml:space="preserve">Polska jest jednym z największych rynków second-hand w Europie Środkowej — szacunki wskazują na kilkanaście tysięcy aktywnych sprzedawców online.</w:t>
      </w:r>
    </w:p>
    <w:p>
      <w:pPr>
        <w:pStyle w:val="ListParagraph"/>
        <w:numPr>
          <w:ilvl w:val="0"/>
          <w:numId w:val="2"/>
        </w:numPr>
        <w:spacing w:before="40" w:after="40"/>
      </w:pPr>
      <w:r>
        <w:rPr>
          <w:rFonts w:ascii="Arial" w:cs="Arial" w:eastAsia="Arial" w:hAnsi="Arial"/>
          <w:color w:val="1A1A2E"/>
          <w:sz w:val="22"/>
          <w:szCs w:val="22"/>
        </w:rPr>
        <w:t xml:space="preserve">Platforma Vinted notuje kilkadziesiąt milionów użytkowników w Europie; Allegro i OLX pozostają kluczowymi kanałami sprzedaży w Polsce.</w:t>
      </w:r>
    </w:p>
    <w:p>
      <w:pPr>
        <w:pStyle w:val="ListParagraph"/>
        <w:numPr>
          <w:ilvl w:val="0"/>
          <w:numId w:val="2"/>
        </w:numPr>
        <w:spacing w:before="40" w:after="40"/>
      </w:pPr>
      <w:r>
        <w:rPr>
          <w:rFonts w:ascii="Arial" w:cs="Arial" w:eastAsia="Arial" w:hAnsi="Arial"/>
          <w:color w:val="1A1A2E"/>
          <w:sz w:val="22"/>
          <w:szCs w:val="22"/>
        </w:rPr>
        <w:t xml:space="preserve">Rosnący trend ESG i zrównoważona konsumpcja budują długofalowy popyt, szczególnie wśród kupujących w wieku 18–35 lat.</w:t>
      </w:r>
    </w:p>
    <w:p>
      <w:pPr>
        <w:pStyle w:val="ListParagraph"/>
        <w:numPr>
          <w:ilvl w:val="0"/>
          <w:numId w:val="2"/>
        </w:numPr>
        <w:spacing w:before="40" w:after="40"/>
      </w:pPr>
      <w:r>
        <w:rPr>
          <w:rFonts w:ascii="Arial" w:cs="Arial" w:eastAsia="Arial" w:hAnsi="Arial"/>
          <w:color w:val="1A1A2E"/>
          <w:sz w:val="22"/>
          <w:szCs w:val="22"/>
        </w:rPr>
        <w:t xml:space="preserve">Sezonowość jest umiarkowana — szczyt aktywności wiosną (marzec–maj) i jesienią (sierpień–październik); niższy ruch w lipcu i grudniu.</w:t>
      </w:r>
    </w:p>
    <w:p>
      <w:pPr>
        <w:spacing w:before="80" w:after="0"/>
      </w:pPr>
      <w:r>
        <w:t xml:space="preserve"/>
      </w:r>
    </w:p>
    <w:p>
      <w:pPr>
        <w:pStyle w:val="Heading2"/>
        <w:spacing w:before="240" w:after="80"/>
      </w:pPr>
      <w:r>
        <w:rPr>
          <w:rFonts w:ascii="Arial" w:cs="Arial" w:eastAsia="Arial" w:hAnsi="Arial"/>
          <w:b/>
          <w:bCs/>
          <w:color w:val="2563EB"/>
          <w:sz w:val="24"/>
          <w:szCs w:val="24"/>
        </w:rPr>
        <w:t xml:space="preserve">3.2. Grupy docelowe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280"/>
        <w:gridCol w:w="3280"/>
      </w:tblGrid>
      <w:tr>
        <w:tc>
          <w:tcPr>
            <w:tcW w:type="dxa" w:w="2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Segment</w:t>
            </w:r>
          </w:p>
        </w:tc>
        <w:tc>
          <w:tcPr>
            <w:tcW w:type="dxa" w:w="32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Charakterystyka</w:t>
            </w:r>
          </w:p>
        </w:tc>
        <w:tc>
          <w:tcPr>
            <w:tcW w:type="dxa" w:w="32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Potrzeba</w:t>
            </w:r>
          </w:p>
        </w:tc>
      </w:tr>
      <w:tr>
        <w:tc>
          <w:tcPr>
            <w:tcW w:type="dxa" w:w="28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Świadomy ekologicznie</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18–35 lat, miejski, wykształcony</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Zakup zamiast fast-fashion, ESG</w:t>
            </w:r>
          </w:p>
        </w:tc>
      </w:tr>
      <w:tr>
        <w:tc>
          <w:tcPr>
            <w:tcW w:type="dxa" w:w="2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Budżetowy</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Każdy wiek, poszukujący okazji</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Tanie ubrania dobrej jakości</w:t>
            </w:r>
          </w:p>
        </w:tc>
      </w:tr>
      <w:tr>
        <w:tc>
          <w:tcPr>
            <w:tcW w:type="dxa" w:w="28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Vintage / kolekcjoner</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25–45 lat, znający się na modzie</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Unikalne, markowe lub retro sztuki</w:t>
            </w:r>
          </w:p>
        </w:tc>
      </w:tr>
      <w:tr>
        <w:tc>
          <w:tcPr>
            <w:tcW w:type="dxa" w:w="2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Mama / rodzic</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Rodzice dzieci 0–12 lat</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Tanie ubranka dziecięce, szybka rotacja</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3.3. Analiza konkurencji</w:t>
      </w:r>
    </w:p>
    <w:p>
      <w:pPr>
        <w:spacing w:before="60" w:after="100"/>
        <w:jc w:val="both"/>
      </w:pPr>
      <w:r>
        <w:rPr>
          <w:rFonts w:ascii="Arial" w:cs="Arial" w:eastAsia="Arial" w:hAnsi="Arial"/>
          <w:color w:val="1A1A2E"/>
          <w:sz w:val="22"/>
          <w:szCs w:val="22"/>
        </w:rPr>
        <w:t xml:space="preserve">Rynek cechuje się wysoką fragmentacją. Brak jednego dominującego gracza w segmencie małych sprzedawców online oznacza zarówno szansę, jak i ryzyko (łatwość wejścia = duże nasycenie na popularnych platformach).</w:t>
      </w:r>
    </w:p>
    <w:p>
      <w:pPr>
        <w:spacing w:before="60" w:after="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400"/>
        <w:gridCol w:w="2400"/>
        <w:gridCol w:w="2360"/>
      </w:tblGrid>
      <w:tr>
        <w:tc>
          <w:tcPr>
            <w:tcW w:type="dxa" w:w="22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Konkurent</w:t>
            </w:r>
          </w:p>
        </w:tc>
        <w:tc>
          <w:tcPr>
            <w:tcW w:type="dxa" w:w="2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Model</w:t>
            </w:r>
          </w:p>
        </w:tc>
        <w:tc>
          <w:tcPr>
            <w:tcW w:type="dxa" w:w="2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Mocna strona</w:t>
            </w:r>
          </w:p>
        </w:tc>
        <w:tc>
          <w:tcPr>
            <w:tcW w:type="dxa" w:w="23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Słabość</w:t>
            </w:r>
          </w:p>
        </w:tc>
      </w:tr>
      <w:tr>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Duzi sprzedawcy Vinted (1000+ ofert)</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Masowy obrót, niska cena</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Wolumen, widoczność</w:t>
            </w:r>
          </w:p>
        </w:tc>
        <w:tc>
          <w:tcPr>
            <w:tcW w:type="dxa" w:w="2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Niska jakość selekcji i opisów</w:t>
            </w:r>
          </w:p>
        </w:tc>
      </w:tr>
      <w:tr>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Second-handy stacjonarne z online</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Sklep + marketplace</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Znana marka lokalna</w:t>
            </w:r>
          </w:p>
        </w:tc>
        <w:tc>
          <w:tcPr>
            <w:tcW w:type="dxa" w:w="2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Wolna rotacja oferty online</w:t>
            </w:r>
          </w:p>
        </w:tc>
      </w:tr>
      <w:tr>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Indywidualni sprzedawcy</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Sprzedaż okazjonalna</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Niskie koszty</w:t>
            </w:r>
          </w:p>
        </w:tc>
        <w:tc>
          <w:tcPr>
            <w:tcW w:type="dxa" w:w="2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Brak regularności i skali</w:t>
            </w:r>
          </w:p>
        </w:tc>
      </w:tr>
      <w:tr>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SecondStyle (planowany)</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Kuracja + e-commerce</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Jakość, prezentacja, branding</w:t>
            </w:r>
          </w:p>
        </w:tc>
        <w:tc>
          <w:tcPr>
            <w:tcW w:type="dxa" w:w="2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Brak historii / marki na start</w:t>
            </w:r>
          </w:p>
        </w:tc>
      </w:tr>
    </w:tbl>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4. Plan operacyjny</w:t>
      </w:r>
    </w:p>
    <w:p>
      <w:pPr>
        <w:pStyle w:val="Heading2"/>
        <w:spacing w:before="240" w:after="80"/>
      </w:pPr>
      <w:r>
        <w:rPr>
          <w:rFonts w:ascii="Arial" w:cs="Arial" w:eastAsia="Arial" w:hAnsi="Arial"/>
          <w:b/>
          <w:bCs/>
          <w:color w:val="2563EB"/>
          <w:sz w:val="24"/>
          <w:szCs w:val="24"/>
        </w:rPr>
        <w:t xml:space="preserve">4.1. Proces operacyjny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3200"/>
        <w:gridCol w:w="5520"/>
      </w:tblGrid>
      <w:tr>
        <w:tc>
          <w:tcPr>
            <w:tcW w:type="dxa" w:w="64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Krok</w:t>
            </w:r>
          </w:p>
        </w:tc>
        <w:tc>
          <w:tcPr>
            <w:tcW w:type="dxa" w:w="32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Etap</w:t>
            </w:r>
          </w:p>
        </w:tc>
        <w:tc>
          <w:tcPr>
            <w:tcW w:type="dxa" w:w="552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Opis</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w:t>
            </w:r>
          </w:p>
        </w:tc>
        <w:tc>
          <w:tcPr>
            <w:tcW w:type="dxa" w:w="32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Pozyskanie towaru</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Skup indywidualny, paczki hurtowe, aukcje, consignment</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w:t>
            </w:r>
          </w:p>
        </w:tc>
        <w:tc>
          <w:tcPr>
            <w:tcW w:type="dxa" w:w="3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Selekcja i ocena</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Weryfikacja stanu, marki, wartości rynkowej; odrzut ok. 20–25%</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w:t>
            </w:r>
          </w:p>
        </w:tc>
        <w:tc>
          <w:tcPr>
            <w:tcW w:type="dxa" w:w="32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Przygotowanie</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Pranie, drobne naprawy, odświeżanie, prasowanie</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4</w:t>
            </w:r>
          </w:p>
        </w:tc>
        <w:tc>
          <w:tcPr>
            <w:tcW w:type="dxa" w:w="3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Fotografowanie i opis</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Zdjęcia na białym tle + detale, szczegółowy opis stanu i pomiarów</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w:t>
            </w:r>
          </w:p>
        </w:tc>
        <w:tc>
          <w:tcPr>
            <w:tcW w:type="dxa" w:w="32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Wystawienie</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Publikacja na wszystkich platformach jednocześnie (integracja narzędzi)</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6</w:t>
            </w:r>
          </w:p>
        </w:tc>
        <w:tc>
          <w:tcPr>
            <w:tcW w:type="dxa" w:w="3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Obsługa sprzedaży</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Odpowiedź na pytania, rezerwacje, negocjacje, fakturowanie</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7</w:t>
            </w:r>
          </w:p>
        </w:tc>
        <w:tc>
          <w:tcPr>
            <w:tcW w:type="dxa" w:w="32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Pakowanie i wysyłka</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Pakowanie w ekologiczne materiały; InPost, DPD, Poczta Polska</w:t>
            </w:r>
          </w:p>
        </w:tc>
      </w:tr>
      <w:tr>
        <w:tc>
          <w:tcPr>
            <w:tcW w:type="dxa" w:w="6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8</w:t>
            </w:r>
          </w:p>
        </w:tc>
        <w:tc>
          <w:tcPr>
            <w:tcW w:type="dxa" w:w="3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Obsługa posprzedażowa</w:t>
            </w:r>
          </w:p>
        </w:tc>
        <w:tc>
          <w:tcPr>
            <w:tcW w:type="dxa" w:w="55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Zwroty, reklamacje, oceny — budowanie reputacji sprzedawcy</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4.2. Wymagane zasoby startowe</w:t>
      </w:r>
    </w:p>
    <w:p>
      <w:pPr>
        <w:pStyle w:val="ListParagraph"/>
        <w:numPr>
          <w:ilvl w:val="0"/>
          <w:numId w:val="2"/>
        </w:numPr>
        <w:spacing w:before="40" w:after="40"/>
      </w:pPr>
      <w:r>
        <w:rPr>
          <w:rFonts w:ascii="Arial" w:cs="Arial" w:eastAsia="Arial" w:hAnsi="Arial"/>
          <w:color w:val="1A1A2E"/>
          <w:sz w:val="22"/>
          <w:szCs w:val="22"/>
        </w:rPr>
        <w:t xml:space="preserve">Lokal / przestrzeń robocza — wystarczy pokój lub garaż ok. 10–20 m² na magazyn i fotografowanie</w:t>
      </w:r>
    </w:p>
    <w:p>
      <w:pPr>
        <w:pStyle w:val="ListParagraph"/>
        <w:numPr>
          <w:ilvl w:val="0"/>
          <w:numId w:val="2"/>
        </w:numPr>
        <w:spacing w:before="40" w:after="40"/>
      </w:pPr>
      <w:r>
        <w:rPr>
          <w:rFonts w:ascii="Arial" w:cs="Arial" w:eastAsia="Arial" w:hAnsi="Arial"/>
          <w:color w:val="1A1A2E"/>
          <w:sz w:val="22"/>
          <w:szCs w:val="22"/>
        </w:rPr>
        <w:t xml:space="preserve">Sprzęt fotograficzny — smartfon z dobrym aparatem lub aparat kompaktowy, tło fotograficzne, softbox</w:t>
      </w:r>
    </w:p>
    <w:p>
      <w:pPr>
        <w:pStyle w:val="ListParagraph"/>
        <w:numPr>
          <w:ilvl w:val="0"/>
          <w:numId w:val="2"/>
        </w:numPr>
        <w:spacing w:before="40" w:after="40"/>
      </w:pPr>
      <w:r>
        <w:rPr>
          <w:rFonts w:ascii="Arial" w:cs="Arial" w:eastAsia="Arial" w:hAnsi="Arial"/>
          <w:color w:val="1A1A2E"/>
          <w:sz w:val="22"/>
          <w:szCs w:val="22"/>
        </w:rPr>
        <w:t xml:space="preserve">Materiały pakowe — koperty bąbelkowe, kartony, wypełnienia, taśma, etykiety</w:t>
      </w:r>
    </w:p>
    <w:p>
      <w:pPr>
        <w:pStyle w:val="ListParagraph"/>
        <w:numPr>
          <w:ilvl w:val="0"/>
          <w:numId w:val="2"/>
        </w:numPr>
        <w:spacing w:before="40" w:after="40"/>
      </w:pPr>
      <w:r>
        <w:rPr>
          <w:rFonts w:ascii="Arial" w:cs="Arial" w:eastAsia="Arial" w:hAnsi="Arial"/>
          <w:color w:val="1A1A2E"/>
          <w:sz w:val="22"/>
          <w:szCs w:val="22"/>
        </w:rPr>
        <w:t xml:space="preserve">Komputer / tablet z dostępem do internetu</w:t>
      </w:r>
    </w:p>
    <w:p>
      <w:pPr>
        <w:pStyle w:val="ListParagraph"/>
        <w:numPr>
          <w:ilvl w:val="0"/>
          <w:numId w:val="2"/>
        </w:numPr>
        <w:spacing w:before="40" w:after="40"/>
      </w:pPr>
      <w:r>
        <w:rPr>
          <w:rFonts w:ascii="Arial" w:cs="Arial" w:eastAsia="Arial" w:hAnsi="Arial"/>
          <w:color w:val="1A1A2E"/>
          <w:sz w:val="22"/>
          <w:szCs w:val="22"/>
        </w:rPr>
        <w:t xml:space="preserve">Konto bankowe firmowe + terminal do płatności online (PayU, Stripe lub Przelewy24)</w:t>
      </w:r>
    </w:p>
    <w:p>
      <w:pPr>
        <w:pStyle w:val="ListParagraph"/>
        <w:numPr>
          <w:ilvl w:val="0"/>
          <w:numId w:val="2"/>
        </w:numPr>
        <w:spacing w:before="40" w:after="40"/>
      </w:pPr>
      <w:r>
        <w:rPr>
          <w:rFonts w:ascii="Arial" w:cs="Arial" w:eastAsia="Arial" w:hAnsi="Arial"/>
          <w:color w:val="1A1A2E"/>
          <w:sz w:val="22"/>
          <w:szCs w:val="22"/>
        </w:rPr>
        <w:t xml:space="preserve">Kapitał obrotowy — środki na zakup pierwszego towaru (min. 3 000–5 000 zł)</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5. Strategia marketingowa</w:t>
      </w:r>
    </w:p>
    <w:p>
      <w:pPr>
        <w:pStyle w:val="Heading2"/>
        <w:spacing w:before="240" w:after="80"/>
      </w:pPr>
      <w:r>
        <w:rPr>
          <w:rFonts w:ascii="Arial" w:cs="Arial" w:eastAsia="Arial" w:hAnsi="Arial"/>
          <w:b/>
          <w:bCs/>
          <w:color w:val="2563EB"/>
          <w:sz w:val="24"/>
          <w:szCs w:val="24"/>
        </w:rPr>
        <w:t xml:space="preserve">5.1. Kanały pozyskiwania klientów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3480"/>
        <w:gridCol w:w="3280"/>
      </w:tblGrid>
      <w:tr>
        <w:tc>
          <w:tcPr>
            <w:tcW w:type="dxa" w:w="2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Kanał</w:t>
            </w:r>
          </w:p>
        </w:tc>
        <w:tc>
          <w:tcPr>
            <w:tcW w:type="dxa" w:w="34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Działanie</w:t>
            </w:r>
          </w:p>
        </w:tc>
        <w:tc>
          <w:tcPr>
            <w:tcW w:type="dxa" w:w="32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Koszt miesięczny</w:t>
            </w:r>
          </w:p>
        </w:tc>
      </w:tr>
      <w:tr>
        <w:tc>
          <w:tcPr>
            <w:tcW w:type="dxa" w:w="26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Vinted</w:t>
            </w:r>
          </w:p>
        </w:tc>
        <w:tc>
          <w:tcPr>
            <w:tcW w:type="dxa" w:w="34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Regularne wystawianie, promowanie ofert (Bumps)</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0–150 zł (opcjonalne Bumps)</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Allegro</w:t>
            </w:r>
          </w:p>
        </w:tc>
        <w:tc>
          <w:tcPr>
            <w:tcW w:type="dxa" w:w="34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Konto Allegro + opcjonalne promowanie</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0–100 zł + prowizja 6–10%</w:t>
            </w:r>
          </w:p>
        </w:tc>
      </w:tr>
      <w:tr>
        <w:tc>
          <w:tcPr>
            <w:tcW w:type="dxa" w:w="26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Instagram / TikTok</w:t>
            </w:r>
          </w:p>
        </w:tc>
        <w:tc>
          <w:tcPr>
            <w:tcW w:type="dxa" w:w="34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Organiczne reelsy z unboxingiem i styli­zacjami</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0 zł (organicznie)</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Meta Ads (opcjonalnie)</w:t>
            </w:r>
          </w:p>
        </w:tc>
        <w:tc>
          <w:tcPr>
            <w:tcW w:type="dxa" w:w="34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Kampania remarketingowa po 3. miesiącu</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200–400 zł od 3. miesiąca</w:t>
            </w:r>
          </w:p>
        </w:tc>
      </w:tr>
      <w:tr>
        <w:tc>
          <w:tcPr>
            <w:tcW w:type="dxa" w:w="260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Własny sklep (SEO)</w:t>
            </w:r>
          </w:p>
        </w:tc>
        <w:tc>
          <w:tcPr>
            <w:tcW w:type="dxa" w:w="34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Blog o modzie vintage, opisy z long-tail keywords</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0 zł (czas własny)</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Program poleceń</w:t>
            </w:r>
          </w:p>
        </w:tc>
        <w:tc>
          <w:tcPr>
            <w:tcW w:type="dxa" w:w="34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Zniżka 10% dla klienta i jego rekomendacji</w:t>
            </w:r>
          </w:p>
        </w:tc>
        <w:tc>
          <w:tcPr>
            <w:tcW w:type="dxa" w:w="32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Koszt rabatu z marży</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5.2. Pozycjonowanie i USP</w:t>
      </w:r>
    </w:p>
    <w:p>
      <w:pPr>
        <w:spacing w:before="60" w:after="100"/>
      </w:pPr>
      <w:r>
        <w:rPr>
          <w:rFonts w:ascii="Arial" w:cs="Arial" w:eastAsia="Arial" w:hAnsi="Arial"/>
          <w:color w:val="1A1A2E"/>
          <w:sz w:val="22"/>
          <w:szCs w:val="22"/>
        </w:rPr>
        <w:t xml:space="preserve">Unikalna propozycja wartości (USP) SecondStyle:</w:t>
      </w:r>
    </w:p>
    <w:p>
      <w:pPr>
        <w:pStyle w:val="ListParagraph"/>
        <w:numPr>
          <w:ilvl w:val="0"/>
          <w:numId w:val="2"/>
        </w:numPr>
        <w:spacing w:before="40" w:after="40"/>
      </w:pPr>
      <w:r>
        <w:rPr>
          <w:rFonts w:ascii="Arial" w:cs="Arial" w:eastAsia="Arial" w:hAnsi="Arial"/>
          <w:color w:val="1A1A2E"/>
          <w:sz w:val="22"/>
          <w:szCs w:val="22"/>
        </w:rPr>
        <w:t xml:space="preserve">Kuracja zamiast hurtowej sprzedaży — każda sztuka jest opisana, zmierzona i sfotografowana w wysokiej jakości</w:t>
      </w:r>
    </w:p>
    <w:p>
      <w:pPr>
        <w:pStyle w:val="ListParagraph"/>
        <w:numPr>
          <w:ilvl w:val="0"/>
          <w:numId w:val="2"/>
        </w:numPr>
        <w:spacing w:before="40" w:after="40"/>
      </w:pPr>
      <w:r>
        <w:rPr>
          <w:rFonts w:ascii="Arial" w:cs="Arial" w:eastAsia="Arial" w:hAnsi="Arial"/>
          <w:color w:val="1A1A2E"/>
          <w:sz w:val="22"/>
          <w:szCs w:val="22"/>
        </w:rPr>
        <w:t xml:space="preserve">Transparentność stanu — szczegółowa skala ocen (1–5 z opisem wad), żadnych niespodzianek przy odbiorze</w:t>
      </w:r>
    </w:p>
    <w:p>
      <w:pPr>
        <w:pStyle w:val="ListParagraph"/>
        <w:numPr>
          <w:ilvl w:val="0"/>
          <w:numId w:val="2"/>
        </w:numPr>
        <w:spacing w:before="40" w:after="40"/>
      </w:pPr>
      <w:r>
        <w:rPr>
          <w:rFonts w:ascii="Arial" w:cs="Arial" w:eastAsia="Arial" w:hAnsi="Arial"/>
          <w:color w:val="1A1A2E"/>
          <w:sz w:val="22"/>
          <w:szCs w:val="22"/>
        </w:rPr>
        <w:t xml:space="preserve">Ekologiczny packaging — papierowe materiały pakowe, minimalizacja plastiku</w:t>
      </w:r>
    </w:p>
    <w:p>
      <w:pPr>
        <w:pStyle w:val="ListParagraph"/>
        <w:numPr>
          <w:ilvl w:val="0"/>
          <w:numId w:val="2"/>
        </w:numPr>
        <w:spacing w:before="40" w:after="40"/>
      </w:pPr>
      <w:r>
        <w:rPr>
          <w:rFonts w:ascii="Arial" w:cs="Arial" w:eastAsia="Arial" w:hAnsi="Arial"/>
          <w:color w:val="1A1A2E"/>
          <w:sz w:val="22"/>
          <w:szCs w:val="22"/>
        </w:rPr>
        <w:t xml:space="preserve">Szybka wysyłka — gwarancja nadania w 24h od zakupu</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6. Analiza finansowa</w:t>
      </w:r>
    </w:p>
    <w:p>
      <w:pPr>
        <w:pStyle w:val="Heading2"/>
        <w:spacing w:before="240" w:after="80"/>
      </w:pPr>
      <w:r>
        <w:rPr>
          <w:rFonts w:ascii="Arial" w:cs="Arial" w:eastAsia="Arial" w:hAnsi="Arial"/>
          <w:b/>
          <w:bCs/>
          <w:color w:val="2563EB"/>
          <w:sz w:val="24"/>
          <w:szCs w:val="24"/>
        </w:rPr>
        <w:t xml:space="preserve">6.1. Nakłady startowe (jednorazowe)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1800"/>
        <w:gridCol w:w="1800"/>
      </w:tblGrid>
      <w:tr>
        <w:tc>
          <w:tcPr>
            <w:tcW w:type="dxa" w:w="57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Pozycja</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Kwota min. (zł)</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Kwota max. (zł)</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Rejestracja działalności (CEIDG — bezpłatna; sp. z o.o. — notariusz, KRS)</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2 000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Sprzęt fotograficzny (tło, softbox, aparat / smartfon)</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300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1 500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Laptop / tablet (jeśli brak)</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2 000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Regały, wieszaki, organizacja magazynu</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200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Materiały pakowe na start (koperty, kartony, taśma)</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200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400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Pierwsza partia towaru (kapitał obrotowy)</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3 000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5 000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Strona www / sklep (Shoper, Shopify — pierwszy rok)</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1 000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Buchalteria / setup księgowy</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300</w:t>
            </w:r>
          </w:p>
        </w:tc>
      </w:tr>
      <w:tr>
        <w:tc>
          <w:tcPr>
            <w:tcW w:type="dxa" w:w="57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r>
              <w:rPr>
                <w:rFonts w:ascii="Arial" w:cs="Arial" w:eastAsia="Arial" w:hAnsi="Arial"/>
                <w:b/>
                <w:bCs/>
                <w:color w:val="1A1A2E"/>
                <w:sz w:val="21"/>
                <w:szCs w:val="21"/>
              </w:rPr>
              <w:t xml:space="preserve">RAZEM</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pPr>
              <w:jc w:val="center"/>
            </w:pPr>
            <w:r>
              <w:rPr>
                <w:rFonts w:ascii="Arial" w:cs="Arial" w:eastAsia="Arial" w:hAnsi="Arial"/>
                <w:b/>
                <w:bCs/>
                <w:color w:val="1A1A2E"/>
                <w:sz w:val="21"/>
                <w:szCs w:val="21"/>
              </w:rPr>
              <w:t xml:space="preserve">3 700</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pPr>
              <w:jc w:val="center"/>
            </w:pPr>
            <w:r>
              <w:rPr>
                <w:rFonts w:ascii="Arial" w:cs="Arial" w:eastAsia="Arial" w:hAnsi="Arial"/>
                <w:b/>
                <w:bCs/>
                <w:color w:val="1A1A2E"/>
                <w:sz w:val="21"/>
                <w:szCs w:val="21"/>
              </w:rPr>
              <w:t xml:space="preserve">12 700</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6.2. Miesięczne koszty stałe (burn rate)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1800"/>
        <w:gridCol w:w="1800"/>
      </w:tblGrid>
      <w:tr>
        <w:tc>
          <w:tcPr>
            <w:tcW w:type="dxa" w:w="57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Koszt stały</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Kwota min. (zł)</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Kwota max. (zł)</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ZUS preferencyjny (pierwsze 24 miesiące — Mały ZUS / Ulga na start)</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 / 331</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331</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Biuro rachunkowe / księgowość</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150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Hostels sklep www / subskrypcja platformy</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150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Materiały pakowe (zmienny, przeliczony na miesiąc)</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100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Internet / telefon (część biznesowa)</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Reklama / promowanie ofert (opcjonalnie)</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400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Prowizje platform (Vinted 5%, Allegro 6–10%) — szacunek przy 3 000 zł obrotu</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150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300</w:t>
            </w:r>
          </w:p>
        </w:tc>
      </w:tr>
      <w:tr>
        <w:tc>
          <w:tcPr>
            <w:tcW w:type="dxa" w:w="57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Wysyłka zwrotów / nieodebranych paczek</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50</w:t>
            </w:r>
          </w:p>
        </w:tc>
        <w:tc>
          <w:tcPr>
            <w:tcW w:type="dxa" w:w="1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100</w:t>
            </w:r>
          </w:p>
        </w:tc>
      </w:tr>
      <w:tr>
        <w:tc>
          <w:tcPr>
            <w:tcW w:type="dxa" w:w="57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r>
              <w:rPr>
                <w:rFonts w:ascii="Arial" w:cs="Arial" w:eastAsia="Arial" w:hAnsi="Arial"/>
                <w:b/>
                <w:bCs/>
                <w:color w:val="1A1A2E"/>
                <w:sz w:val="21"/>
                <w:szCs w:val="21"/>
              </w:rPr>
              <w:t xml:space="preserve">ŁĄCZNY BURN RATE</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pPr>
              <w:jc w:val="center"/>
            </w:pPr>
            <w:r>
              <w:rPr>
                <w:rFonts w:ascii="Arial" w:cs="Arial" w:eastAsia="Arial" w:hAnsi="Arial"/>
                <w:b/>
                <w:bCs/>
                <w:color w:val="1A1A2E"/>
                <w:sz w:val="21"/>
                <w:szCs w:val="21"/>
              </w:rPr>
              <w:t xml:space="preserve">500</w:t>
            </w:r>
          </w:p>
        </w:tc>
        <w:tc>
          <w:tcPr>
            <w:tcW w:type="dxa" w:w="1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pPr>
              <w:jc w:val="center"/>
            </w:pPr>
            <w:r>
              <w:rPr>
                <w:rFonts w:ascii="Arial" w:cs="Arial" w:eastAsia="Arial" w:hAnsi="Arial"/>
                <w:b/>
                <w:bCs/>
                <w:color w:val="1A1A2E"/>
                <w:sz w:val="21"/>
                <w:szCs w:val="21"/>
              </w:rPr>
              <w:t xml:space="preserve">1 981</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6.3. Prognoza przychodów i rentowności (rok 1)</w:t>
      </w:r>
    </w:p>
    <w:p>
      <w:pPr>
        <w:spacing w:before="60" w:after="100"/>
        <w:jc w:val="both"/>
      </w:pPr>
      <w:r>
        <w:rPr>
          <w:rFonts w:ascii="Arial" w:cs="Arial" w:eastAsia="Arial" w:hAnsi="Arial"/>
          <w:color w:val="1A1A2E"/>
          <w:sz w:val="22"/>
          <w:szCs w:val="22"/>
        </w:rPr>
        <w:t xml:space="preserve">Założenia: średnia cena sprzedaży sztuki = 35–60 zł; marża brutto na sztuce (po kosztach zakupu i wysyłki) = 50–65%. Koszty zakupu towaru traktowane są jako zmienny koszt sprzedanych towarów (COGS).</w:t>
      </w:r>
    </w:p>
    <w:p>
      <w:pPr>
        <w:spacing w:before="60" w:after="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40"/>
        <w:gridCol w:w="1260"/>
        <w:gridCol w:w="1260"/>
        <w:gridCol w:w="1260"/>
        <w:gridCol w:w="1260"/>
        <w:gridCol w:w="1260"/>
        <w:gridCol w:w="1020"/>
      </w:tblGrid>
      <w:tr>
        <w:tc>
          <w:tcPr>
            <w:tcW w:type="dxa" w:w="204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Miesiąc</w:t>
            </w:r>
          </w:p>
        </w:tc>
        <w:tc>
          <w:tcPr>
            <w:tcW w:type="dxa" w:w="12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M1</w:t>
            </w:r>
          </w:p>
        </w:tc>
        <w:tc>
          <w:tcPr>
            <w:tcW w:type="dxa" w:w="12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M2</w:t>
            </w:r>
          </w:p>
        </w:tc>
        <w:tc>
          <w:tcPr>
            <w:tcW w:type="dxa" w:w="12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M3</w:t>
            </w:r>
          </w:p>
        </w:tc>
        <w:tc>
          <w:tcPr>
            <w:tcW w:type="dxa" w:w="12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M4–M6</w:t>
            </w:r>
          </w:p>
        </w:tc>
        <w:tc>
          <w:tcPr>
            <w:tcW w:type="dxa" w:w="12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M7–M9</w:t>
            </w:r>
          </w:p>
        </w:tc>
        <w:tc>
          <w:tcPr>
            <w:tcW w:type="dxa" w:w="102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M10–M12</w:t>
            </w:r>
          </w:p>
        </w:tc>
      </w:tr>
      <w:tr>
        <w:tc>
          <w:tcPr>
            <w:tcW w:type="dxa" w:w="204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Liczba sprzedanych sztuk</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70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90–120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120–160</w:t>
            </w:r>
          </w:p>
        </w:tc>
        <w:tc>
          <w:tcPr>
            <w:tcW w:type="dxa" w:w="10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160–200</w:t>
            </w:r>
          </w:p>
        </w:tc>
      </w:tr>
      <w:tr>
        <w:tc>
          <w:tcPr>
            <w:tcW w:type="dxa" w:w="20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Przychód (zł)</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1 050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1 750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2 450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3 150–4 200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4 200–5 600</w:t>
            </w:r>
          </w:p>
        </w:tc>
        <w:tc>
          <w:tcPr>
            <w:tcW w:type="dxa" w:w="10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5 600–7 000</w:t>
            </w:r>
          </w:p>
        </w:tc>
      </w:tr>
      <w:tr>
        <w:tc>
          <w:tcPr>
            <w:tcW w:type="dxa" w:w="204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COGS — koszt towaru (zł)</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420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700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980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1 260–1 680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1 680–2 240</w:t>
            </w:r>
          </w:p>
        </w:tc>
        <w:tc>
          <w:tcPr>
            <w:tcW w:type="dxa" w:w="10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2 240–2 800</w:t>
            </w:r>
          </w:p>
        </w:tc>
      </w:tr>
      <w:tr>
        <w:tc>
          <w:tcPr>
            <w:tcW w:type="dxa" w:w="204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r>
              <w:rPr>
                <w:rFonts w:ascii="Arial" w:cs="Arial" w:eastAsia="Arial" w:hAnsi="Arial"/>
                <w:b/>
                <w:bCs/>
                <w:color w:val="1A1A2E"/>
                <w:sz w:val="21"/>
                <w:szCs w:val="21"/>
              </w:rPr>
              <w:t xml:space="preserve">Marża brutto (zł)</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630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1 050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1 470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1 890–2 520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2 520–3 360</w:t>
            </w:r>
          </w:p>
        </w:tc>
        <w:tc>
          <w:tcPr>
            <w:tcW w:type="dxa" w:w="10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3 360–4 200</w:t>
            </w:r>
          </w:p>
        </w:tc>
      </w:tr>
      <w:tr>
        <w:tc>
          <w:tcPr>
            <w:tcW w:type="dxa" w:w="2040"/>
            <w:tcBorders>
              <w:top w:val="single" w:color="BFDBFE" w:sz="1"/>
              <w:left w:val="single" w:color="BFDBFE" w:sz="1"/>
              <w:bottom w:val="single" w:color="BFDBFE" w:sz="1"/>
              <w:right w:val="single" w:color="BFDBFE" w:sz="1"/>
            </w:tcBorders>
            <w:shd w:fill="DBEAFE" w:val="clear"/>
            <w:tcMar>
              <w:top w:type="dxa" w:w="80"/>
              <w:left w:type="dxa" w:w="140"/>
              <w:bottom w:type="dxa" w:w="80"/>
              <w:right w:type="dxa" w:w="140"/>
            </w:tcMar>
            <w:vAlign w:val="center"/>
          </w:tcPr>
          <w:p>
            <w:r>
              <w:rPr>
                <w:rFonts w:ascii="Arial" w:cs="Arial" w:eastAsia="Arial" w:hAnsi="Arial"/>
                <w:b/>
                <w:bCs/>
                <w:color w:val="1A1A2E"/>
                <w:sz w:val="21"/>
                <w:szCs w:val="21"/>
              </w:rPr>
              <w:t xml:space="preserve">Koszty stałe (zł)</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1 200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1 200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1 200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1 200</w:t>
            </w:r>
          </w:p>
        </w:tc>
        <w:tc>
          <w:tcPr>
            <w:tcW w:type="dxa" w:w="12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1 400</w:t>
            </w:r>
          </w:p>
        </w:tc>
        <w:tc>
          <w:tcPr>
            <w:tcW w:type="dxa" w:w="102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1 600</w:t>
            </w:r>
          </w:p>
        </w:tc>
      </w:tr>
      <w:tr>
        <w:tc>
          <w:tcPr>
            <w:tcW w:type="dxa" w:w="204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r>
              <w:rPr>
                <w:rFonts w:ascii="Arial" w:cs="Arial" w:eastAsia="Arial" w:hAnsi="Arial"/>
                <w:b/>
                <w:bCs/>
                <w:color w:val="1A1A2E"/>
                <w:sz w:val="20"/>
                <w:szCs w:val="20"/>
              </w:rPr>
              <w:t xml:space="preserve">Wynik netto (zł)</w:t>
            </w:r>
          </w:p>
        </w:tc>
        <w:tc>
          <w:tcPr>
            <w:tcW w:type="dxa" w:w="1260"/>
            <w:tcBorders>
              <w:top w:val="single" w:color="2563EB" w:sz="1"/>
              <w:left w:val="single" w:color="2563EB" w:sz="1"/>
              <w:bottom w:val="single" w:color="2563EB" w:sz="1"/>
              <w:right w:val="single" w:color="2563EB" w:sz="1"/>
            </w:tcBorders>
            <w:shd w:fill="FEE2E2" w:val="clear"/>
            <w:tcMar>
              <w:top w:type="dxa" w:w="100"/>
              <w:left w:type="dxa" w:w="140"/>
              <w:bottom w:type="dxa" w:w="100"/>
              <w:right w:type="dxa" w:w="140"/>
            </w:tcMar>
          </w:tcPr>
          <w:p>
            <w:pPr>
              <w:jc w:val="center"/>
            </w:pPr>
            <w:r>
              <w:rPr>
                <w:rFonts w:ascii="Arial" w:cs="Arial" w:eastAsia="Arial" w:hAnsi="Arial"/>
                <w:b/>
                <w:bCs/>
                <w:color w:val="DC2626"/>
                <w:sz w:val="20"/>
                <w:szCs w:val="20"/>
              </w:rPr>
              <w:t xml:space="preserve">–570</w:t>
            </w:r>
          </w:p>
        </w:tc>
        <w:tc>
          <w:tcPr>
            <w:tcW w:type="dxa" w:w="1260"/>
            <w:tcBorders>
              <w:top w:val="single" w:color="2563EB" w:sz="1"/>
              <w:left w:val="single" w:color="2563EB" w:sz="1"/>
              <w:bottom w:val="single" w:color="2563EB" w:sz="1"/>
              <w:right w:val="single" w:color="2563EB" w:sz="1"/>
            </w:tcBorders>
            <w:shd w:fill="FEE2E2" w:val="clear"/>
            <w:tcMar>
              <w:top w:type="dxa" w:w="100"/>
              <w:left w:type="dxa" w:w="140"/>
              <w:bottom w:type="dxa" w:w="100"/>
              <w:right w:type="dxa" w:w="140"/>
            </w:tcMar>
          </w:tcPr>
          <w:p>
            <w:pPr>
              <w:jc w:val="center"/>
            </w:pPr>
            <w:r>
              <w:rPr>
                <w:rFonts w:ascii="Arial" w:cs="Arial" w:eastAsia="Arial" w:hAnsi="Arial"/>
                <w:b/>
                <w:bCs/>
                <w:color w:val="DC2626"/>
                <w:sz w:val="20"/>
                <w:szCs w:val="20"/>
              </w:rPr>
              <w:t xml:space="preserve">–150</w:t>
            </w:r>
          </w:p>
        </w:tc>
        <w:tc>
          <w:tcPr>
            <w:tcW w:type="dxa" w:w="1260"/>
            <w:tcBorders>
              <w:top w:val="single" w:color="2563EB" w:sz="1"/>
              <w:left w:val="single" w:color="2563EB" w:sz="1"/>
              <w:bottom w:val="single" w:color="2563EB" w:sz="1"/>
              <w:right w:val="single" w:color="2563EB" w:sz="1"/>
            </w:tcBorders>
            <w:shd w:fill="DCFCE7" w:val="clear"/>
            <w:tcMar>
              <w:top w:type="dxa" w:w="100"/>
              <w:left w:type="dxa" w:w="140"/>
              <w:bottom w:type="dxa" w:w="100"/>
              <w:right w:type="dxa" w:w="140"/>
            </w:tcMar>
          </w:tcPr>
          <w:p>
            <w:pPr>
              <w:jc w:val="center"/>
            </w:pPr>
            <w:r>
              <w:rPr>
                <w:rFonts w:ascii="Arial" w:cs="Arial" w:eastAsia="Arial" w:hAnsi="Arial"/>
                <w:b/>
                <w:bCs/>
                <w:color w:val="16A34A"/>
                <w:sz w:val="20"/>
                <w:szCs w:val="20"/>
              </w:rPr>
              <w:t xml:space="preserve">+270</w:t>
            </w:r>
          </w:p>
        </w:tc>
        <w:tc>
          <w:tcPr>
            <w:tcW w:type="dxa" w:w="1260"/>
            <w:tcBorders>
              <w:top w:val="single" w:color="2563EB" w:sz="1"/>
              <w:left w:val="single" w:color="2563EB" w:sz="1"/>
              <w:bottom w:val="single" w:color="2563EB" w:sz="1"/>
              <w:right w:val="single" w:color="2563EB" w:sz="1"/>
            </w:tcBorders>
            <w:shd w:fill="DCFCE7" w:val="clear"/>
            <w:tcMar>
              <w:top w:type="dxa" w:w="100"/>
              <w:left w:type="dxa" w:w="140"/>
              <w:bottom w:type="dxa" w:w="100"/>
              <w:right w:type="dxa" w:w="140"/>
            </w:tcMar>
          </w:tcPr>
          <w:p>
            <w:pPr>
              <w:jc w:val="center"/>
            </w:pPr>
            <w:r>
              <w:rPr>
                <w:rFonts w:ascii="Arial" w:cs="Arial" w:eastAsia="Arial" w:hAnsi="Arial"/>
                <w:b/>
                <w:bCs/>
                <w:color w:val="16A34A"/>
                <w:sz w:val="20"/>
                <w:szCs w:val="20"/>
              </w:rPr>
              <w:t xml:space="preserve">+690–+1 320</w:t>
            </w:r>
          </w:p>
        </w:tc>
        <w:tc>
          <w:tcPr>
            <w:tcW w:type="dxa" w:w="1260"/>
            <w:tcBorders>
              <w:top w:val="single" w:color="2563EB" w:sz="1"/>
              <w:left w:val="single" w:color="2563EB" w:sz="1"/>
              <w:bottom w:val="single" w:color="2563EB" w:sz="1"/>
              <w:right w:val="single" w:color="2563EB" w:sz="1"/>
            </w:tcBorders>
            <w:shd w:fill="DCFCE7" w:val="clear"/>
            <w:tcMar>
              <w:top w:type="dxa" w:w="100"/>
              <w:left w:type="dxa" w:w="140"/>
              <w:bottom w:type="dxa" w:w="100"/>
              <w:right w:type="dxa" w:w="140"/>
            </w:tcMar>
          </w:tcPr>
          <w:p>
            <w:pPr>
              <w:jc w:val="center"/>
            </w:pPr>
            <w:r>
              <w:rPr>
                <w:rFonts w:ascii="Arial" w:cs="Arial" w:eastAsia="Arial" w:hAnsi="Arial"/>
                <w:b/>
                <w:bCs/>
                <w:color w:val="16A34A"/>
                <w:sz w:val="20"/>
                <w:szCs w:val="20"/>
              </w:rPr>
              <w:t xml:space="preserve">+1 120–+1 960</w:t>
            </w:r>
          </w:p>
        </w:tc>
        <w:tc>
          <w:tcPr>
            <w:tcW w:type="dxa" w:w="1020"/>
            <w:tcBorders>
              <w:top w:val="single" w:color="2563EB" w:sz="1"/>
              <w:left w:val="single" w:color="2563EB" w:sz="1"/>
              <w:bottom w:val="single" w:color="2563EB" w:sz="1"/>
              <w:right w:val="single" w:color="2563EB" w:sz="1"/>
            </w:tcBorders>
            <w:shd w:fill="DCFCE7" w:val="clear"/>
            <w:tcMar>
              <w:top w:type="dxa" w:w="100"/>
              <w:left w:type="dxa" w:w="140"/>
              <w:bottom w:type="dxa" w:w="100"/>
              <w:right w:type="dxa" w:w="140"/>
            </w:tcMar>
          </w:tcPr>
          <w:p>
            <w:pPr>
              <w:jc w:val="center"/>
            </w:pPr>
            <w:r>
              <w:rPr>
                <w:rFonts w:ascii="Arial" w:cs="Arial" w:eastAsia="Arial" w:hAnsi="Arial"/>
                <w:b/>
                <w:bCs/>
                <w:color w:val="16A34A"/>
                <w:sz w:val="20"/>
                <w:szCs w:val="20"/>
              </w:rPr>
              <w:t xml:space="preserve">+1 760–+2 600</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6.4. Próg rentowności (break-even point)</w:t>
      </w:r>
    </w:p>
    <w:p>
      <w:pPr>
        <w:spacing w:before="60" w:after="100"/>
        <w:jc w:val="both"/>
      </w:pPr>
      <w:r>
        <w:rPr>
          <w:rFonts w:ascii="Arial" w:cs="Arial" w:eastAsia="Arial" w:hAnsi="Arial"/>
          <w:color w:val="1A1A2E"/>
          <w:sz w:val="22"/>
          <w:szCs w:val="22"/>
        </w:rPr>
        <w:t xml:space="preserve">Przy miesięcznych kosztach stałych na poziomie ok. 1 200 zł i marży brutto 60%, próg rentowności wynosi:</w:t>
      </w:r>
    </w:p>
    <w:p>
      <w:pPr>
        <w:spacing w:before="60" w:after="0"/>
      </w:pPr>
      <w:r>
        <w:t xml:space="preserve"/>
      </w:r>
    </w:p>
    <w:p>
      <w:pPr>
        <w:pBdr>
          <w:left w:val="single" w:color="2563EB" w:sz="12" w:space="12"/>
        </w:pBdr>
        <w:spacing w:before="80" w:after="80"/>
        <w:jc w:val="center"/>
      </w:pPr>
      <w:r>
        <w:rPr>
          <w:rFonts w:ascii="Arial" w:cs="Arial" w:eastAsia="Arial" w:hAnsi="Arial"/>
          <w:color w:val="1A1A2E"/>
          <w:sz w:val="22"/>
          <w:szCs w:val="22"/>
        </w:rPr>
        <w:t xml:space="preserve">Break-even = Koszty stałe ÷ Marża brutto% = 1 200 zł ÷ 0,60 = </w:t>
      </w:r>
      <w:r>
        <w:rPr>
          <w:rFonts w:ascii="Arial" w:cs="Arial" w:eastAsia="Arial" w:hAnsi="Arial"/>
          <w:b/>
          <w:bCs/>
          <w:color w:val="2563EB"/>
          <w:sz w:val="22"/>
          <w:szCs w:val="22"/>
        </w:rPr>
        <w:t xml:space="preserve">2 000 zł miesięcznego przychodu</w:t>
      </w:r>
    </w:p>
    <w:p>
      <w:pPr>
        <w:spacing w:before="60" w:after="0"/>
      </w:pPr>
      <w:r>
        <w:t xml:space="preserve"/>
      </w:r>
    </w:p>
    <w:p>
      <w:pPr>
        <w:spacing w:before="60" w:after="100"/>
        <w:jc w:val="both"/>
      </w:pPr>
      <w:r>
        <w:rPr>
          <w:rFonts w:ascii="Arial" w:cs="Arial" w:eastAsia="Arial" w:hAnsi="Arial"/>
          <w:color w:val="1A1A2E"/>
          <w:sz w:val="22"/>
          <w:szCs w:val="22"/>
        </w:rPr>
        <w:t xml:space="preserve">Odpowiada to sprzedaży ok. 45–55 sztuk miesięcznie przy średniej cenie 35–45 zł — realnie osiągalnej w 3. miesiącu działalności. Przy systematycznym wzroście wolumenu i aktywnym marketingu na platformach, break-even może zostać osiągnięty już w 2. miesiącu.</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7. Analiza ryzyka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400"/>
        <w:gridCol w:w="1400"/>
        <w:gridCol w:w="3960"/>
      </w:tblGrid>
      <w:tr>
        <w:tc>
          <w:tcPr>
            <w:tcW w:type="dxa" w:w="2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Ryzyko</w:t>
            </w:r>
          </w:p>
        </w:tc>
        <w:tc>
          <w:tcPr>
            <w:tcW w:type="dxa" w:w="1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Prawdopodobieństwo</w:t>
            </w:r>
          </w:p>
        </w:tc>
        <w:tc>
          <w:tcPr>
            <w:tcW w:type="dxa" w:w="1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Wpływ</w:t>
            </w:r>
          </w:p>
        </w:tc>
        <w:tc>
          <w:tcPr>
            <w:tcW w:type="dxa" w:w="39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Działania mitygujące</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Nasycenie platformy Vinted — spadek widoczności</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Wysokie</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Średni</w:t>
            </w:r>
          </w:p>
        </w:tc>
        <w:tc>
          <w:tcPr>
            <w:tcW w:type="dxa" w:w="39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Dywersyfikacja kanałów (Allegro, własny sklep, Instagram)</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Trudności z pozyskaniem towaru dobrej jakości</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Średnie</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Wysoki</w:t>
            </w:r>
          </w:p>
        </w:tc>
        <w:tc>
          <w:tcPr>
            <w:tcW w:type="dxa" w:w="39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Budowanie sieci dostawców, stały kontakt z sortowniami, skup polecony</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Wysoki wskaźnik zwrotów (niespełnienie oczekiwań)</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Średnie</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Średni</w:t>
            </w:r>
          </w:p>
        </w:tc>
        <w:tc>
          <w:tcPr>
            <w:tcW w:type="dxa" w:w="39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Precyzyjne opisy stanu, pomiary, zdjęcia defektów</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Zmiana regulacji platform (prowizje, zasady)</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Niskie</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Średni</w:t>
            </w:r>
          </w:p>
        </w:tc>
        <w:tc>
          <w:tcPr>
            <w:tcW w:type="dxa" w:w="39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Własny sklep jako niezależny kanał sprzedaży</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Wolny start — brak zamówień w pierwszych tygodniach</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Średnie</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Niski</w:t>
            </w:r>
          </w:p>
        </w:tc>
        <w:tc>
          <w:tcPr>
            <w:tcW w:type="dxa" w:w="39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Rezerwa finansowa na 2–3 miesiące kosztów stałych</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Negatywna ocena audytu/biznesplanu przez urząd pracy</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Zależy od urzędu</w:t>
            </w:r>
          </w:p>
        </w:tc>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Wysoki</w:t>
            </w:r>
          </w:p>
        </w:tc>
        <w:tc>
          <w:tcPr>
            <w:tcW w:type="dxa" w:w="39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Realistyczne założenia, rynkowe ceny, udokumentowane badania rynku</w:t>
            </w:r>
          </w:p>
        </w:tc>
      </w:tr>
    </w:tbl>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8. Misja, wizja i cele strategiczne</w:t>
      </w:r>
    </w:p>
    <w:p>
      <w:pPr>
        <w:pStyle w:val="Heading2"/>
        <w:spacing w:before="240" w:after="80"/>
      </w:pPr>
      <w:r>
        <w:rPr>
          <w:rFonts w:ascii="Arial" w:cs="Arial" w:eastAsia="Arial" w:hAnsi="Arial"/>
          <w:b/>
          <w:bCs/>
          <w:color w:val="2563EB"/>
          <w:sz w:val="24"/>
          <w:szCs w:val="24"/>
        </w:rPr>
        <w:t xml:space="preserve">8.1. Misja</w:t>
      </w:r>
    </w:p>
    <w:p>
      <w:pPr>
        <w:pBdr>
          <w:left w:val="single" w:color="2563EB" w:sz="16" w:space="12"/>
        </w:pBdr>
        <w:spacing w:before="80" w:after="80"/>
        <w:jc w:val="center"/>
      </w:pPr>
      <w:r>
        <w:rPr>
          <w:rFonts w:ascii="Arial" w:cs="Arial" w:eastAsia="Arial" w:hAnsi="Arial"/>
          <w:i/>
          <w:iCs/>
          <w:color w:val="1A1A2E"/>
          <w:sz w:val="23"/>
          <w:szCs w:val="23"/>
        </w:rPr>
        <w:t xml:space="preserve">Oferujemy starannie wyselekcjonowaną odzież używaną, łącząc troskę o środowisko z dostępem do wartościowej mody w atrakcyjnych cenach — dla każdego, kto wybiera świadomie.</w:t>
      </w:r>
    </w:p>
    <w:p>
      <w:pPr>
        <w:spacing w:before="60" w:after="0"/>
      </w:pPr>
      <w:r>
        <w:t xml:space="preserve"/>
      </w:r>
    </w:p>
    <w:p>
      <w:pPr>
        <w:pStyle w:val="Heading2"/>
        <w:spacing w:before="240" w:after="80"/>
      </w:pPr>
      <w:r>
        <w:rPr>
          <w:rFonts w:ascii="Arial" w:cs="Arial" w:eastAsia="Arial" w:hAnsi="Arial"/>
          <w:b/>
          <w:bCs/>
          <w:color w:val="2563EB"/>
          <w:sz w:val="24"/>
          <w:szCs w:val="24"/>
        </w:rPr>
        <w:t xml:space="preserve">8.2. Wizja</w:t>
      </w:r>
    </w:p>
    <w:p>
      <w:pPr>
        <w:spacing w:before="60" w:after="100"/>
        <w:jc w:val="both"/>
      </w:pPr>
      <w:r>
        <w:rPr>
          <w:rFonts w:ascii="Arial" w:cs="Arial" w:eastAsia="Arial" w:hAnsi="Arial"/>
          <w:color w:val="1A1A2E"/>
          <w:sz w:val="22"/>
          <w:szCs w:val="22"/>
        </w:rPr>
        <w:t xml:space="preserve">W ciągu 3 lat SecondStyle stanie się rozpoznawalną marką e-commerce w segmencie odzieży używanej w Polsce, obsługując co najmniej 500 aktywnych klientów miesięcznie i osiągając przychód przekraczający 15 000 zł/miesiąc. W perspektywie 5 lat — ekspansja na rynki europejskie przez platformę Vinted International.</w:t>
      </w:r>
    </w:p>
    <w:p>
      <w:pPr>
        <w:spacing w:before="60" w:after="0"/>
      </w:pPr>
      <w:r>
        <w:t xml:space="preserve"/>
      </w:r>
    </w:p>
    <w:p>
      <w:pPr>
        <w:pStyle w:val="Heading2"/>
        <w:spacing w:before="240" w:after="80"/>
      </w:pPr>
      <w:r>
        <w:rPr>
          <w:rFonts w:ascii="Arial" w:cs="Arial" w:eastAsia="Arial" w:hAnsi="Arial"/>
          <w:b/>
          <w:bCs/>
          <w:color w:val="2563EB"/>
          <w:sz w:val="24"/>
          <w:szCs w:val="24"/>
        </w:rPr>
        <w:t xml:space="preserve">8.3. Cele strategiczne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000"/>
        <w:gridCol w:w="3160"/>
        <w:gridCol w:w="2800"/>
      </w:tblGrid>
      <w:tr>
        <w:tc>
          <w:tcPr>
            <w:tcW w:type="dxa" w:w="1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Horyzont</w:t>
            </w:r>
          </w:p>
        </w:tc>
        <w:tc>
          <w:tcPr>
            <w:tcW w:type="dxa" w:w="20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Obszar</w:t>
            </w:r>
          </w:p>
        </w:tc>
        <w:tc>
          <w:tcPr>
            <w:tcW w:type="dxa" w:w="31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Cel</w:t>
            </w:r>
          </w:p>
        </w:tc>
        <w:tc>
          <w:tcPr>
            <w:tcW w:type="dxa" w:w="28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Miernik</w:t>
            </w:r>
          </w:p>
        </w:tc>
      </w:tr>
      <w:tr>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Krótki (0–12 mies.)</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Sprzedaż</w:t>
            </w:r>
          </w:p>
        </w:tc>
        <w:tc>
          <w:tcPr>
            <w:tcW w:type="dxa" w:w="31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Osiągnięcie break-even i stabilnego przychodu 3 000+ zł/mies.</w:t>
            </w:r>
          </w:p>
        </w:tc>
        <w:tc>
          <w:tcPr>
            <w:tcW w:type="dxa" w:w="2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Wynik finansowy &gt; 0 od M3</w:t>
            </w:r>
          </w:p>
        </w:tc>
      </w:tr>
      <w:tr>
        <w:tc>
          <w:tcPr>
            <w:tcW w:type="dxa" w:w="14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Krótki (0–12 mies.)</w:t>
            </w:r>
          </w:p>
        </w:tc>
        <w:tc>
          <w:tcPr>
            <w:tcW w:type="dxa" w:w="20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Marka</w:t>
            </w:r>
          </w:p>
        </w:tc>
        <w:tc>
          <w:tcPr>
            <w:tcW w:type="dxa" w:w="316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Budowa profilu z min. 200 obserwującymi i ocenami 4,8+/5</w:t>
            </w:r>
          </w:p>
        </w:tc>
        <w:tc>
          <w:tcPr>
            <w:tcW w:type="dxa" w:w="28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Oceny platform + Instagram followers</w:t>
            </w:r>
          </w:p>
        </w:tc>
      </w:tr>
      <w:tr>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Średni (1–2 lata)</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Skala</w:t>
            </w:r>
          </w:p>
        </w:tc>
        <w:tc>
          <w:tcPr>
            <w:tcW w:type="dxa" w:w="31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Sprzedaż 150–200 szt./mies., przychód 6 000–10 000 zł/mies.</w:t>
            </w:r>
          </w:p>
        </w:tc>
        <w:tc>
          <w:tcPr>
            <w:tcW w:type="dxa" w:w="2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Miesięczny raport sprzedaży</w:t>
            </w:r>
          </w:p>
        </w:tc>
      </w:tr>
      <w:tr>
        <w:tc>
          <w:tcPr>
            <w:tcW w:type="dxa" w:w="14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Średni (1–2 lata)</w:t>
            </w:r>
          </w:p>
        </w:tc>
        <w:tc>
          <w:tcPr>
            <w:tcW w:type="dxa" w:w="20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Procesy</w:t>
            </w:r>
          </w:p>
        </w:tc>
        <w:tc>
          <w:tcPr>
            <w:tcW w:type="dxa" w:w="316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Automatyzacja listingów, integracja platform w jednym narzędziu</w:t>
            </w:r>
          </w:p>
        </w:tc>
        <w:tc>
          <w:tcPr>
            <w:tcW w:type="dxa" w:w="28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Czas wystawienia oferty &lt; 10 min./szt.</w:t>
            </w:r>
          </w:p>
        </w:tc>
      </w:tr>
      <w:tr>
        <w:tc>
          <w:tcPr>
            <w:tcW w:type="dxa" w:w="1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Długi (3–5 lat)</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Ekspansja</w:t>
            </w:r>
          </w:p>
        </w:tc>
        <w:tc>
          <w:tcPr>
            <w:tcW w:type="dxa" w:w="31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Wejście na rynki DE, FR, NL przez Vinted International</w:t>
            </w:r>
          </w:p>
        </w:tc>
        <w:tc>
          <w:tcPr>
            <w:tcW w:type="dxa" w:w="28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Przychód z zagranicy &gt; 20% total</w:t>
            </w:r>
          </w:p>
        </w:tc>
      </w:tr>
      <w:tr>
        <w:tc>
          <w:tcPr>
            <w:tcW w:type="dxa" w:w="14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Długi (3–5 lat)</w:t>
            </w:r>
          </w:p>
        </w:tc>
        <w:tc>
          <w:tcPr>
            <w:tcW w:type="dxa" w:w="20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Zatrudnienie</w:t>
            </w:r>
          </w:p>
        </w:tc>
        <w:tc>
          <w:tcPr>
            <w:tcW w:type="dxa" w:w="316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Zatrudnienie min. 1 pracownika do obsługi magazynu i wysyłek</w:t>
            </w:r>
          </w:p>
        </w:tc>
        <w:tc>
          <w:tcPr>
            <w:tcW w:type="dxa" w:w="2800"/>
            <w:tcBorders>
              <w:top w:val="single" w:color="BFDBFE" w:sz="1"/>
              <w:left w:val="single" w:color="BFDBFE" w:sz="1"/>
              <w:bottom w:val="single" w:color="BFDBFE" w:sz="1"/>
              <w:right w:val="single" w:color="BFDBFE" w:sz="1"/>
            </w:tcBorders>
            <w:shd w:fill="F0F7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Umowa o pracę / zlecenie</w:t>
            </w:r>
          </w:p>
        </w:tc>
      </w:tr>
    </w:tbl>
    <w:p>
      <w:pPr>
        <w:spacing w:before="120" w:after="0"/>
      </w:pPr>
      <w:r>
        <w:t xml:space="preserve"/>
      </w:r>
    </w:p>
    <w:p>
      <w:r>
        <w:br w:type="page"/>
      </w:r>
    </w:p>
    <w:p>
      <w:pPr>
        <w:pStyle w:val="Heading1"/>
        <w:pBdr>
          <w:bottom w:val="single" w:color="2563EB" w:sz="6" w:space="4"/>
        </w:pBdr>
        <w:spacing w:before="360" w:after="120"/>
      </w:pPr>
      <w:r>
        <w:rPr>
          <w:rFonts w:ascii="Arial" w:cs="Arial" w:eastAsia="Arial" w:hAnsi="Arial"/>
          <w:b/>
          <w:bCs/>
          <w:color w:val="1A1A2E"/>
          <w:sz w:val="28"/>
          <w:szCs w:val="28"/>
        </w:rPr>
        <w:t xml:space="preserve">9. Analiza SWOT</w:t>
      </w:r>
    </w:p>
    <w:p>
      <w:pPr>
        <w:spacing w:before="60" w:after="100"/>
        <w:jc w:val="both"/>
      </w:pPr>
      <w:r>
        <w:rPr>
          <w:rFonts w:ascii="Arial" w:cs="Arial" w:eastAsia="Arial" w:hAnsi="Arial"/>
          <w:color w:val="1A1A2E"/>
          <w:sz w:val="22"/>
          <w:szCs w:val="22"/>
        </w:rPr>
        <w:t xml:space="preserve">Analiza SWOT stanowi syntetyczne podsumowanie sytuacji strategicznej firmy SecondStyle na tle otoczenia rynkowego. Stanowi podstawę do formułowania strategii konkurencyjnej i planu działań mitygujących ryzyka.</w:t>
      </w:r>
    </w:p>
    <w:p>
      <w:pPr>
        <w:spacing w:before="80" w:after="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2563EB" w:sz="1"/>
              <w:left w:val="single" w:color="2563EB" w:sz="1"/>
              <w:bottom w:val="single" w:color="2563EB" w:sz="1"/>
              <w:right w:val="single" w:color="2563EB" w:sz="1"/>
            </w:tcBorders>
            <w:shd w:fill="1D4ED8" w:val="clear"/>
            <w:tcMar>
              <w:top w:type="dxa" w:w="120"/>
              <w:left w:type="dxa" w:w="160"/>
              <w:bottom w:type="dxa" w:w="120"/>
              <w:right w:type="dxa" w:w="160"/>
            </w:tcMar>
          </w:tcPr>
          <w:p>
            <w:pPr>
              <w:jc w:val="center"/>
            </w:pPr>
            <w:r>
              <w:rPr>
                <w:rFonts w:ascii="Arial" w:cs="Arial" w:eastAsia="Arial" w:hAnsi="Arial"/>
                <w:b/>
                <w:bCs/>
                <w:color w:val="FFFFFF"/>
                <w:sz w:val="22"/>
                <w:szCs w:val="22"/>
              </w:rPr>
              <w:t xml:space="preserve">STRENGTHS — Mocne strony</w:t>
            </w:r>
          </w:p>
          <w:p>
            <w:pPr>
              <w:spacing w:before="20"/>
              <w:jc w:val="center"/>
            </w:pPr>
            <w:r>
              <w:rPr>
                <w:rFonts w:ascii="Arial" w:cs="Arial" w:eastAsia="Arial" w:hAnsi="Arial"/>
                <w:i/>
                <w:iCs/>
                <w:color w:val="BFDBFE"/>
                <w:sz w:val="18"/>
                <w:szCs w:val="18"/>
              </w:rPr>
              <w:t xml:space="preserve">Czynniki wewnętrzne korzystne</w:t>
            </w:r>
          </w:p>
        </w:tc>
        <w:tc>
          <w:tcPr>
            <w:tcW w:type="dxa" w:w="4680"/>
            <w:tcBorders>
              <w:top w:val="single" w:color="2563EB" w:sz="1"/>
              <w:left w:val="single" w:color="2563EB" w:sz="1"/>
              <w:bottom w:val="single" w:color="2563EB" w:sz="1"/>
              <w:right w:val="single" w:color="2563EB" w:sz="1"/>
            </w:tcBorders>
            <w:shd w:fill="15803D" w:val="clear"/>
            <w:tcMar>
              <w:top w:type="dxa" w:w="120"/>
              <w:left w:type="dxa" w:w="160"/>
              <w:bottom w:type="dxa" w:w="120"/>
              <w:right w:type="dxa" w:w="160"/>
            </w:tcMar>
          </w:tcPr>
          <w:p>
            <w:pPr>
              <w:jc w:val="center"/>
            </w:pPr>
            <w:r>
              <w:rPr>
                <w:rFonts w:ascii="Arial" w:cs="Arial" w:eastAsia="Arial" w:hAnsi="Arial"/>
                <w:b/>
                <w:bCs/>
                <w:color w:val="FFFFFF"/>
                <w:sz w:val="22"/>
                <w:szCs w:val="22"/>
              </w:rPr>
              <w:t xml:space="preserve">WEAKNESSES — Słabe strony</w:t>
            </w:r>
          </w:p>
          <w:p>
            <w:pPr>
              <w:spacing w:before="20"/>
              <w:jc w:val="center"/>
            </w:pPr>
            <w:r>
              <w:rPr>
                <w:rFonts w:ascii="Arial" w:cs="Arial" w:eastAsia="Arial" w:hAnsi="Arial"/>
                <w:i/>
                <w:iCs/>
                <w:color w:val="BBF7D0"/>
                <w:sz w:val="18"/>
                <w:szCs w:val="18"/>
              </w:rPr>
              <w:t xml:space="preserve">Czynniki wewnętrzne niekorzystne</w:t>
            </w:r>
          </w:p>
        </w:tc>
      </w:tr>
      <w:tr>
        <w:tc>
          <w:tcPr>
            <w:tcW w:type="dxa" w:w="4680"/>
            <w:tcBorders>
              <w:top w:val="single" w:color="BFDBFE" w:sz="1"/>
              <w:left w:val="single" w:color="BFDBFE" w:sz="1"/>
              <w:bottom w:val="single" w:color="BFDBFE" w:sz="1"/>
              <w:right w:val="single" w:color="BFDBFE" w:sz="1"/>
            </w:tcBorders>
            <w:shd w:fill="EFF6FF" w:val="clear"/>
            <w:tcMar>
              <w:top w:type="dxa" w:w="140"/>
              <w:left w:type="dxa" w:w="160"/>
              <w:bottom w:type="dxa" w:w="140"/>
              <w:right w:type="dxa" w:w="160"/>
            </w:tcMar>
          </w:tcPr>
          <w:p>
            <w:pPr>
              <w:pStyle w:val="ListParagraph"/>
              <w:numPr>
                <w:ilvl w:val="0"/>
                <w:numId w:val="2"/>
              </w:numPr>
              <w:spacing w:before="40" w:after="40"/>
            </w:pPr>
            <w:r>
              <w:rPr>
                <w:rFonts w:ascii="Arial" w:cs="Arial" w:eastAsia="Arial" w:hAnsi="Arial"/>
                <w:color w:val="1A1A2E"/>
                <w:sz w:val="21"/>
                <w:szCs w:val="21"/>
              </w:rPr>
              <w:t xml:space="preserve">Niskie koszty wejścia — brak lokalu, minimalny sprzęt</w:t>
            </w:r>
          </w:p>
          <w:p>
            <w:pPr>
              <w:pStyle w:val="ListParagraph"/>
              <w:numPr>
                <w:ilvl w:val="0"/>
                <w:numId w:val="2"/>
              </w:numPr>
              <w:spacing w:before="40" w:after="40"/>
            </w:pPr>
            <w:r>
              <w:rPr>
                <w:rFonts w:ascii="Arial" w:cs="Arial" w:eastAsia="Arial" w:hAnsi="Arial"/>
                <w:color w:val="1A1A2E"/>
                <w:sz w:val="21"/>
                <w:szCs w:val="21"/>
              </w:rPr>
              <w:t xml:space="preserve">Wysoka marża brutto (50–65%) przy starannej selekcji towaru</w:t>
            </w:r>
          </w:p>
          <w:p>
            <w:pPr>
              <w:pStyle w:val="ListParagraph"/>
              <w:numPr>
                <w:ilvl w:val="0"/>
                <w:numId w:val="2"/>
              </w:numPr>
              <w:spacing w:before="40" w:after="40"/>
            </w:pPr>
            <w:r>
              <w:rPr>
                <w:rFonts w:ascii="Arial" w:cs="Arial" w:eastAsia="Arial" w:hAnsi="Arial"/>
                <w:color w:val="1A1A2E"/>
                <w:sz w:val="21"/>
                <w:szCs w:val="21"/>
              </w:rPr>
              <w:t xml:space="preserve">Elastyczność operacyjna — praca zdalna, własne tempo</w:t>
            </w:r>
          </w:p>
          <w:p>
            <w:pPr>
              <w:pStyle w:val="ListParagraph"/>
              <w:numPr>
                <w:ilvl w:val="0"/>
                <w:numId w:val="2"/>
              </w:numPr>
              <w:spacing w:before="40" w:after="40"/>
            </w:pPr>
            <w:r>
              <w:rPr>
                <w:rFonts w:ascii="Arial" w:cs="Arial" w:eastAsia="Arial" w:hAnsi="Arial"/>
                <w:color w:val="1A1A2E"/>
                <w:sz w:val="21"/>
                <w:szCs w:val="21"/>
              </w:rPr>
              <w:t xml:space="preserve">Brak zależności od jednego dostawcy — zdywersyfikowane źródła towaru</w:t>
            </w:r>
          </w:p>
          <w:p>
            <w:pPr>
              <w:pStyle w:val="ListParagraph"/>
              <w:numPr>
                <w:ilvl w:val="0"/>
                <w:numId w:val="2"/>
              </w:numPr>
              <w:spacing w:before="40" w:after="40"/>
            </w:pPr>
            <w:r>
              <w:rPr>
                <w:rFonts w:ascii="Arial" w:cs="Arial" w:eastAsia="Arial" w:hAnsi="Arial"/>
                <w:color w:val="1A1A2E"/>
                <w:sz w:val="21"/>
                <w:szCs w:val="21"/>
              </w:rPr>
              <w:t xml:space="preserve">Możliwość szybkiej zmiany asortymentu zgodnie z trendem</w:t>
            </w:r>
          </w:p>
          <w:p>
            <w:pPr>
              <w:pStyle w:val="ListParagraph"/>
              <w:numPr>
                <w:ilvl w:val="0"/>
                <w:numId w:val="2"/>
              </w:numPr>
              <w:spacing w:before="40" w:after="40"/>
            </w:pPr>
            <w:r>
              <w:rPr>
                <w:rFonts w:ascii="Arial" w:cs="Arial" w:eastAsia="Arial" w:hAnsi="Arial"/>
                <w:color w:val="1A1A2E"/>
                <w:sz w:val="21"/>
                <w:szCs w:val="21"/>
              </w:rPr>
              <w:t xml:space="preserve">Niskie ryzyko zalegania towaru — każda sztuka jest unikalna</w:t>
            </w:r>
          </w:p>
        </w:tc>
        <w:tc>
          <w:tcPr>
            <w:tcW w:type="dxa" w:w="4680"/>
            <w:tcBorders>
              <w:top w:val="single" w:color="BFDBFE" w:sz="1"/>
              <w:left w:val="single" w:color="BFDBFE" w:sz="1"/>
              <w:bottom w:val="single" w:color="BFDBFE" w:sz="1"/>
              <w:right w:val="single" w:color="BFDBFE" w:sz="1"/>
            </w:tcBorders>
            <w:shd w:fill="F0FDF4" w:val="clear"/>
            <w:tcMar>
              <w:top w:type="dxa" w:w="140"/>
              <w:left w:type="dxa" w:w="160"/>
              <w:bottom w:type="dxa" w:w="140"/>
              <w:right w:type="dxa" w:w="160"/>
            </w:tcMar>
          </w:tcPr>
          <w:p>
            <w:pPr>
              <w:pStyle w:val="ListParagraph"/>
              <w:numPr>
                <w:ilvl w:val="0"/>
                <w:numId w:val="2"/>
              </w:numPr>
              <w:spacing w:before="40" w:after="40"/>
            </w:pPr>
            <w:r>
              <w:rPr>
                <w:rFonts w:ascii="Arial" w:cs="Arial" w:eastAsia="Arial" w:hAnsi="Arial"/>
                <w:color w:val="1A1A2E"/>
                <w:sz w:val="21"/>
                <w:szCs w:val="21"/>
              </w:rPr>
              <w:t xml:space="preserve">Brak historii sprzedaży i reputacji na starcie</w:t>
            </w:r>
          </w:p>
          <w:p>
            <w:pPr>
              <w:pStyle w:val="ListParagraph"/>
              <w:numPr>
                <w:ilvl w:val="0"/>
                <w:numId w:val="2"/>
              </w:numPr>
              <w:spacing w:before="40" w:after="40"/>
            </w:pPr>
            <w:r>
              <w:rPr>
                <w:rFonts w:ascii="Arial" w:cs="Arial" w:eastAsia="Arial" w:hAnsi="Arial"/>
                <w:color w:val="1A1A2E"/>
                <w:sz w:val="21"/>
                <w:szCs w:val="21"/>
              </w:rPr>
              <w:t xml:space="preserve">Ograniczone zasoby finansowe i kadrowe (jednoosobowa firma)</w:t>
            </w:r>
          </w:p>
          <w:p>
            <w:pPr>
              <w:pStyle w:val="ListParagraph"/>
              <w:numPr>
                <w:ilvl w:val="0"/>
                <w:numId w:val="2"/>
              </w:numPr>
              <w:spacing w:before="40" w:after="40"/>
            </w:pPr>
            <w:r>
              <w:rPr>
                <w:rFonts w:ascii="Arial" w:cs="Arial" w:eastAsia="Arial" w:hAnsi="Arial"/>
                <w:color w:val="1A1A2E"/>
                <w:sz w:val="21"/>
                <w:szCs w:val="21"/>
              </w:rPr>
              <w:t xml:space="preserve">Czasochłonność procesu (selekcja, fotografia, opisy) — ryzyko wypalenia</w:t>
            </w:r>
          </w:p>
          <w:p>
            <w:pPr>
              <w:pStyle w:val="ListParagraph"/>
              <w:numPr>
                <w:ilvl w:val="0"/>
                <w:numId w:val="2"/>
              </w:numPr>
              <w:spacing w:before="40" w:after="40"/>
            </w:pPr>
            <w:r>
              <w:rPr>
                <w:rFonts w:ascii="Arial" w:cs="Arial" w:eastAsia="Arial" w:hAnsi="Arial"/>
                <w:color w:val="1A1A2E"/>
                <w:sz w:val="21"/>
                <w:szCs w:val="21"/>
              </w:rPr>
              <w:t xml:space="preserve">Nieregularność dostępności towaru — trudno planować wolumen</w:t>
            </w:r>
          </w:p>
          <w:p>
            <w:pPr>
              <w:pStyle w:val="ListParagraph"/>
              <w:numPr>
                <w:ilvl w:val="0"/>
                <w:numId w:val="2"/>
              </w:numPr>
              <w:spacing w:before="40" w:after="40"/>
            </w:pPr>
            <w:r>
              <w:rPr>
                <w:rFonts w:ascii="Arial" w:cs="Arial" w:eastAsia="Arial" w:hAnsi="Arial"/>
                <w:color w:val="1A1A2E"/>
                <w:sz w:val="21"/>
                <w:szCs w:val="21"/>
              </w:rPr>
              <w:t xml:space="preserve">Brak własnego magazynu — ograniczone możliwości składowania dużych partii</w:t>
            </w:r>
          </w:p>
          <w:p>
            <w:pPr>
              <w:pStyle w:val="ListParagraph"/>
              <w:numPr>
                <w:ilvl w:val="0"/>
                <w:numId w:val="2"/>
              </w:numPr>
              <w:spacing w:before="40" w:after="40"/>
            </w:pPr>
            <w:r>
              <w:rPr>
                <w:rFonts w:ascii="Arial" w:cs="Arial" w:eastAsia="Arial" w:hAnsi="Arial"/>
                <w:color w:val="1A1A2E"/>
                <w:sz w:val="21"/>
                <w:szCs w:val="21"/>
              </w:rPr>
              <w:t xml:space="preserve">Uzależnienie od polityki i prowizji zewnętrznych platform</w:t>
            </w:r>
          </w:p>
        </w:tc>
      </w:tr>
      <w:tr>
        <w:tc>
          <w:tcPr>
            <w:tcW w:type="dxa" w:w="4680"/>
            <w:tcBorders>
              <w:top w:val="single" w:color="2563EB" w:sz="1"/>
              <w:left w:val="single" w:color="2563EB" w:sz="1"/>
              <w:bottom w:val="single" w:color="2563EB" w:sz="1"/>
              <w:right w:val="single" w:color="2563EB" w:sz="1"/>
            </w:tcBorders>
            <w:shd w:fill="B45309" w:val="clear"/>
            <w:tcMar>
              <w:top w:type="dxa" w:w="120"/>
              <w:left w:type="dxa" w:w="160"/>
              <w:bottom w:type="dxa" w:w="120"/>
              <w:right w:type="dxa" w:w="160"/>
            </w:tcMar>
          </w:tcPr>
          <w:p>
            <w:pPr>
              <w:jc w:val="center"/>
            </w:pPr>
            <w:r>
              <w:rPr>
                <w:rFonts w:ascii="Arial" w:cs="Arial" w:eastAsia="Arial" w:hAnsi="Arial"/>
                <w:b/>
                <w:bCs/>
                <w:color w:val="FFFFFF"/>
                <w:sz w:val="22"/>
                <w:szCs w:val="22"/>
              </w:rPr>
              <w:t xml:space="preserve">OPPORTUNITIES — Szanse</w:t>
            </w:r>
          </w:p>
          <w:p>
            <w:pPr>
              <w:spacing w:before="20"/>
              <w:jc w:val="center"/>
            </w:pPr>
            <w:r>
              <w:rPr>
                <w:rFonts w:ascii="Arial" w:cs="Arial" w:eastAsia="Arial" w:hAnsi="Arial"/>
                <w:i/>
                <w:iCs/>
                <w:color w:val="FEF3C7"/>
                <w:sz w:val="18"/>
                <w:szCs w:val="18"/>
              </w:rPr>
              <w:t xml:space="preserve">Czynniki zewnętrzne korzystne</w:t>
            </w:r>
          </w:p>
        </w:tc>
        <w:tc>
          <w:tcPr>
            <w:tcW w:type="dxa" w:w="4680"/>
            <w:tcBorders>
              <w:top w:val="single" w:color="2563EB" w:sz="1"/>
              <w:left w:val="single" w:color="2563EB" w:sz="1"/>
              <w:bottom w:val="single" w:color="2563EB" w:sz="1"/>
              <w:right w:val="single" w:color="2563EB" w:sz="1"/>
            </w:tcBorders>
            <w:shd w:fill="991B1B" w:val="clear"/>
            <w:tcMar>
              <w:top w:type="dxa" w:w="120"/>
              <w:left w:type="dxa" w:w="160"/>
              <w:bottom w:type="dxa" w:w="120"/>
              <w:right w:type="dxa" w:w="160"/>
            </w:tcMar>
          </w:tcPr>
          <w:p>
            <w:pPr>
              <w:jc w:val="center"/>
            </w:pPr>
            <w:r>
              <w:rPr>
                <w:rFonts w:ascii="Arial" w:cs="Arial" w:eastAsia="Arial" w:hAnsi="Arial"/>
                <w:b/>
                <w:bCs/>
                <w:color w:val="FFFFFF"/>
                <w:sz w:val="22"/>
                <w:szCs w:val="22"/>
              </w:rPr>
              <w:t xml:space="preserve">THREATS — Zagrożenia</w:t>
            </w:r>
          </w:p>
          <w:p>
            <w:pPr>
              <w:spacing w:before="20"/>
              <w:jc w:val="center"/>
            </w:pPr>
            <w:r>
              <w:rPr>
                <w:rFonts w:ascii="Arial" w:cs="Arial" w:eastAsia="Arial" w:hAnsi="Arial"/>
                <w:i/>
                <w:iCs/>
                <w:color w:val="FECACA"/>
                <w:sz w:val="18"/>
                <w:szCs w:val="18"/>
              </w:rPr>
              <w:t xml:space="preserve">Czynniki zewnętrzne niekorzystne</w:t>
            </w:r>
          </w:p>
        </w:tc>
      </w:tr>
      <w:tr>
        <w:tc>
          <w:tcPr>
            <w:tcW w:type="dxa" w:w="4680"/>
            <w:tcBorders>
              <w:top w:val="single" w:color="BFDBFE" w:sz="1"/>
              <w:left w:val="single" w:color="BFDBFE" w:sz="1"/>
              <w:bottom w:val="single" w:color="BFDBFE" w:sz="1"/>
              <w:right w:val="single" w:color="BFDBFE" w:sz="1"/>
            </w:tcBorders>
            <w:shd w:fill="FFFBEB" w:val="clear"/>
            <w:tcMar>
              <w:top w:type="dxa" w:w="140"/>
              <w:left w:type="dxa" w:w="160"/>
              <w:bottom w:type="dxa" w:w="140"/>
              <w:right w:type="dxa" w:w="160"/>
            </w:tcMar>
          </w:tcPr>
          <w:p>
            <w:pPr>
              <w:pStyle w:val="ListParagraph"/>
              <w:numPr>
                <w:ilvl w:val="0"/>
                <w:numId w:val="2"/>
              </w:numPr>
              <w:spacing w:before="40" w:after="40"/>
            </w:pPr>
            <w:r>
              <w:rPr>
                <w:rFonts w:ascii="Arial" w:cs="Arial" w:eastAsia="Arial" w:hAnsi="Arial"/>
                <w:color w:val="1A1A2E"/>
                <w:sz w:val="21"/>
                <w:szCs w:val="21"/>
              </w:rPr>
              <w:t xml:space="preserve">Dynamicznie rosnący rynek second-hand w Polsce i Europie (+15–20% r/r)</w:t>
            </w:r>
          </w:p>
          <w:p>
            <w:pPr>
              <w:pStyle w:val="ListParagraph"/>
              <w:numPr>
                <w:ilvl w:val="0"/>
                <w:numId w:val="2"/>
              </w:numPr>
              <w:spacing w:before="40" w:after="40"/>
            </w:pPr>
            <w:r>
              <w:rPr>
                <w:rFonts w:ascii="Arial" w:cs="Arial" w:eastAsia="Arial" w:hAnsi="Arial"/>
                <w:color w:val="1A1A2E"/>
                <w:sz w:val="21"/>
                <w:szCs w:val="21"/>
              </w:rPr>
              <w:t xml:space="preserve">Rosnąca świadomość ekologiczna i trend slow fashion wśród młodszych pokoleń</w:t>
            </w:r>
          </w:p>
          <w:p>
            <w:pPr>
              <w:pStyle w:val="ListParagraph"/>
              <w:numPr>
                <w:ilvl w:val="0"/>
                <w:numId w:val="2"/>
              </w:numPr>
              <w:spacing w:before="40" w:after="40"/>
            </w:pPr>
            <w:r>
              <w:rPr>
                <w:rFonts w:ascii="Arial" w:cs="Arial" w:eastAsia="Arial" w:hAnsi="Arial"/>
                <w:color w:val="1A1A2E"/>
                <w:sz w:val="21"/>
                <w:szCs w:val="21"/>
              </w:rPr>
              <w:t xml:space="preserve">Inflacja i presja na budżety gospodarstw domowych — wzrost popytu na tańszą odzież</w:t>
            </w:r>
          </w:p>
          <w:p>
            <w:pPr>
              <w:pStyle w:val="ListParagraph"/>
              <w:numPr>
                <w:ilvl w:val="0"/>
                <w:numId w:val="2"/>
              </w:numPr>
              <w:spacing w:before="40" w:after="40"/>
            </w:pPr>
            <w:r>
              <w:rPr>
                <w:rFonts w:ascii="Arial" w:cs="Arial" w:eastAsia="Arial" w:hAnsi="Arial"/>
                <w:color w:val="1A1A2E"/>
                <w:sz w:val="21"/>
                <w:szCs w:val="21"/>
              </w:rPr>
              <w:t xml:space="preserve">Dostępność narzędzi do automatyzacji listingów (Vendoo, Sellhound)</w:t>
            </w:r>
          </w:p>
          <w:p>
            <w:pPr>
              <w:pStyle w:val="ListParagraph"/>
              <w:numPr>
                <w:ilvl w:val="0"/>
                <w:numId w:val="2"/>
              </w:numPr>
              <w:spacing w:before="40" w:after="40"/>
            </w:pPr>
            <w:r>
              <w:rPr>
                <w:rFonts w:ascii="Arial" w:cs="Arial" w:eastAsia="Arial" w:hAnsi="Arial"/>
                <w:color w:val="1A1A2E"/>
                <w:sz w:val="21"/>
                <w:szCs w:val="21"/>
              </w:rPr>
              <w:t xml:space="preserve">Możliwość ekspansji na rynki europejskie bez fizycznej obecności</w:t>
            </w:r>
          </w:p>
          <w:p>
            <w:pPr>
              <w:pStyle w:val="ListParagraph"/>
              <w:numPr>
                <w:ilvl w:val="0"/>
                <w:numId w:val="2"/>
              </w:numPr>
              <w:spacing w:before="40" w:after="40"/>
            </w:pPr>
            <w:r>
              <w:rPr>
                <w:rFonts w:ascii="Arial" w:cs="Arial" w:eastAsia="Arial" w:hAnsi="Arial"/>
                <w:color w:val="1A1A2E"/>
                <w:sz w:val="21"/>
                <w:szCs w:val="21"/>
              </w:rPr>
              <w:t xml:space="preserve">Dostępność dofinansowań dla nowych firm (PUP, EFS, BGK)</w:t>
            </w:r>
          </w:p>
        </w:tc>
        <w:tc>
          <w:tcPr>
            <w:tcW w:type="dxa" w:w="4680"/>
            <w:tcBorders>
              <w:top w:val="single" w:color="BFDBFE" w:sz="1"/>
              <w:left w:val="single" w:color="BFDBFE" w:sz="1"/>
              <w:bottom w:val="single" w:color="BFDBFE" w:sz="1"/>
              <w:right w:val="single" w:color="BFDBFE" w:sz="1"/>
            </w:tcBorders>
            <w:shd w:fill="FEF2F2" w:val="clear"/>
            <w:tcMar>
              <w:top w:type="dxa" w:w="140"/>
              <w:left w:type="dxa" w:w="160"/>
              <w:bottom w:type="dxa" w:w="140"/>
              <w:right w:type="dxa" w:w="160"/>
            </w:tcMar>
          </w:tcPr>
          <w:p>
            <w:pPr>
              <w:pStyle w:val="ListParagraph"/>
              <w:numPr>
                <w:ilvl w:val="0"/>
                <w:numId w:val="2"/>
              </w:numPr>
              <w:spacing w:before="40" w:after="40"/>
            </w:pPr>
            <w:r>
              <w:rPr>
                <w:rFonts w:ascii="Arial" w:cs="Arial" w:eastAsia="Arial" w:hAnsi="Arial"/>
                <w:color w:val="1A1A2E"/>
                <w:sz w:val="21"/>
                <w:szCs w:val="21"/>
              </w:rPr>
              <w:t xml:space="preserve">Wysokie nasycenie Vinted — rosnąca konkurencja cenowa na platformach</w:t>
            </w:r>
          </w:p>
          <w:p>
            <w:pPr>
              <w:pStyle w:val="ListParagraph"/>
              <w:numPr>
                <w:ilvl w:val="0"/>
                <w:numId w:val="2"/>
              </w:numPr>
              <w:spacing w:before="40" w:after="40"/>
            </w:pPr>
            <w:r>
              <w:rPr>
                <w:rFonts w:ascii="Arial" w:cs="Arial" w:eastAsia="Arial" w:hAnsi="Arial"/>
                <w:color w:val="1A1A2E"/>
                <w:sz w:val="21"/>
                <w:szCs w:val="21"/>
              </w:rPr>
              <w:t xml:space="preserve">Ryzyko zmiany algorytmów lub podwyżki prowizji przez platformy</w:t>
            </w:r>
          </w:p>
          <w:p>
            <w:pPr>
              <w:pStyle w:val="ListParagraph"/>
              <w:numPr>
                <w:ilvl w:val="0"/>
                <w:numId w:val="2"/>
              </w:numPr>
              <w:spacing w:before="40" w:after="40"/>
            </w:pPr>
            <w:r>
              <w:rPr>
                <w:rFonts w:ascii="Arial" w:cs="Arial" w:eastAsia="Arial" w:hAnsi="Arial"/>
                <w:color w:val="1A1A2E"/>
                <w:sz w:val="21"/>
                <w:szCs w:val="21"/>
              </w:rPr>
              <w:t xml:space="preserve">Wzrost cen paczek i kosztów przesyłek kurierskich</w:t>
            </w:r>
          </w:p>
          <w:p>
            <w:pPr>
              <w:pStyle w:val="ListParagraph"/>
              <w:numPr>
                <w:ilvl w:val="0"/>
                <w:numId w:val="2"/>
              </w:numPr>
              <w:spacing w:before="40" w:after="40"/>
            </w:pPr>
            <w:r>
              <w:rPr>
                <w:rFonts w:ascii="Arial" w:cs="Arial" w:eastAsia="Arial" w:hAnsi="Arial"/>
                <w:color w:val="1A1A2E"/>
                <w:sz w:val="21"/>
                <w:szCs w:val="21"/>
              </w:rPr>
              <w:t xml:space="preserve">Wejście dużych graczy (np. H&amp;M Rewear, Zalando Second Hand) na rynek second-hand</w:t>
            </w:r>
          </w:p>
          <w:p>
            <w:pPr>
              <w:pStyle w:val="ListParagraph"/>
              <w:numPr>
                <w:ilvl w:val="0"/>
                <w:numId w:val="2"/>
              </w:numPr>
              <w:spacing w:before="40" w:after="40"/>
            </w:pPr>
            <w:r>
              <w:rPr>
                <w:rFonts w:ascii="Arial" w:cs="Arial" w:eastAsia="Arial" w:hAnsi="Arial"/>
                <w:color w:val="1A1A2E"/>
                <w:sz w:val="21"/>
                <w:szCs w:val="21"/>
              </w:rPr>
              <w:t xml:space="preserve">Ryzyko fraudów / prób wyłudzenia przy transakcjach online</w:t>
            </w:r>
          </w:p>
          <w:p>
            <w:pPr>
              <w:pStyle w:val="ListParagraph"/>
              <w:numPr>
                <w:ilvl w:val="0"/>
                <w:numId w:val="2"/>
              </w:numPr>
              <w:spacing w:before="40" w:after="40"/>
            </w:pPr>
            <w:r>
              <w:rPr>
                <w:rFonts w:ascii="Arial" w:cs="Arial" w:eastAsia="Arial" w:hAnsi="Arial"/>
                <w:color w:val="1A1A2E"/>
                <w:sz w:val="21"/>
                <w:szCs w:val="21"/>
              </w:rPr>
              <w:t xml:space="preserve">Zmiana przepisów dotyczących sprzedaży towarów używanych (unijne regulacje DAC7)</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9.1. Wnioski strategiczne z analizy SWOT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Strategia</w:t>
            </w:r>
          </w:p>
        </w:tc>
        <w:tc>
          <w:tcPr>
            <w:tcW w:type="dxa" w:w="73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Opis działania</w:t>
            </w:r>
          </w:p>
        </w:tc>
      </w:tr>
      <w:tr>
        <w:tc>
          <w:tcPr>
            <w:tcW w:type="dxa" w:w="2000"/>
            <w:tcBorders>
              <w:top w:val="single" w:color="BFDBFE" w:sz="1"/>
              <w:left w:val="single" w:color="BFDBFE" w:sz="1"/>
              <w:bottom w:val="single" w:color="BFDBFE" w:sz="1"/>
              <w:right w:val="single" w:color="BFDBFE" w:sz="1"/>
            </w:tcBorders>
            <w:shd w:fill="DBEAFE" w:val="clear"/>
            <w:tcMar>
              <w:top w:type="dxa" w:w="100"/>
              <w:left w:type="dxa" w:w="140"/>
              <w:bottom w:type="dxa" w:w="100"/>
              <w:right w:type="dxa" w:w="140"/>
            </w:tcMar>
          </w:tcPr>
          <w:p>
            <w:r>
              <w:rPr>
                <w:rFonts w:ascii="Arial" w:cs="Arial" w:eastAsia="Arial" w:hAnsi="Arial"/>
                <w:b/>
                <w:bCs/>
                <w:color w:val="1D4ED8"/>
                <w:sz w:val="20"/>
                <w:szCs w:val="20"/>
              </w:rPr>
              <w:t xml:space="preserve">S + O (Maxi-Maxi)</w:t>
            </w:r>
          </w:p>
        </w:tc>
        <w:tc>
          <w:tcPr>
            <w:tcW w:type="dxa" w:w="7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Wykorzystaj niskie koszty wejścia i rosnący rynek — szybkie skalowanie wolumenu przy jednoczesnym budowaniu marki opartej na jakości selekcji.</w:t>
            </w:r>
          </w:p>
        </w:tc>
      </w:tr>
      <w:tr>
        <w:tc>
          <w:tcPr>
            <w:tcW w:type="dxa" w:w="2000"/>
            <w:tcBorders>
              <w:top w:val="single" w:color="BFDBFE" w:sz="1"/>
              <w:left w:val="single" w:color="BFDBFE" w:sz="1"/>
              <w:bottom w:val="single" w:color="BFDBFE" w:sz="1"/>
              <w:right w:val="single" w:color="BFDBFE" w:sz="1"/>
            </w:tcBorders>
            <w:shd w:fill="DCFCE7" w:val="clear"/>
            <w:tcMar>
              <w:top w:type="dxa" w:w="100"/>
              <w:left w:type="dxa" w:w="140"/>
              <w:bottom w:type="dxa" w:w="100"/>
              <w:right w:type="dxa" w:w="140"/>
            </w:tcMar>
          </w:tcPr>
          <w:p>
            <w:r>
              <w:rPr>
                <w:rFonts w:ascii="Arial" w:cs="Arial" w:eastAsia="Arial" w:hAnsi="Arial"/>
                <w:b/>
                <w:bCs/>
                <w:color w:val="15803D"/>
                <w:sz w:val="20"/>
                <w:szCs w:val="20"/>
              </w:rPr>
              <w:t xml:space="preserve">W + O (Mini-Maxi)</w:t>
            </w:r>
          </w:p>
        </w:tc>
        <w:tc>
          <w:tcPr>
            <w:tcW w:type="dxa" w:w="7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Przezwyciężaj brak reputacji poprzez aktywny marketing organiczny (Instagram Reels, TikTok) i agresywne zbieranie opinii od pierwszych klientów.</w:t>
            </w:r>
          </w:p>
        </w:tc>
      </w:tr>
      <w:tr>
        <w:tc>
          <w:tcPr>
            <w:tcW w:type="dxa" w:w="2000"/>
            <w:tcBorders>
              <w:top w:val="single" w:color="BFDBFE" w:sz="1"/>
              <w:left w:val="single" w:color="BFDBFE" w:sz="1"/>
              <w:bottom w:val="single" w:color="BFDBFE" w:sz="1"/>
              <w:right w:val="single" w:color="BFDBFE" w:sz="1"/>
            </w:tcBorders>
            <w:shd w:fill="FFFBEB" w:val="clear"/>
            <w:tcMar>
              <w:top w:type="dxa" w:w="100"/>
              <w:left w:type="dxa" w:w="140"/>
              <w:bottom w:type="dxa" w:w="100"/>
              <w:right w:type="dxa" w:w="140"/>
            </w:tcMar>
          </w:tcPr>
          <w:p>
            <w:r>
              <w:rPr>
                <w:rFonts w:ascii="Arial" w:cs="Arial" w:eastAsia="Arial" w:hAnsi="Arial"/>
                <w:b/>
                <w:bCs/>
                <w:color w:val="B45309"/>
                <w:sz w:val="20"/>
                <w:szCs w:val="20"/>
              </w:rPr>
              <w:t xml:space="preserve">S + T (Maxi-Mini)</w:t>
            </w:r>
          </w:p>
        </w:tc>
        <w:tc>
          <w:tcPr>
            <w:tcW w:type="dxa" w:w="7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Zabezpiecz się przed ryzykiem platform budując własny sklep internetowy jako niezależny kanał — elastyczność operacyjna pozwoli na szybką adaptację do zmian.</w:t>
            </w:r>
          </w:p>
        </w:tc>
      </w:tr>
      <w:tr>
        <w:tc>
          <w:tcPr>
            <w:tcW w:type="dxa" w:w="2000"/>
            <w:tcBorders>
              <w:top w:val="single" w:color="BFDBFE" w:sz="1"/>
              <w:left w:val="single" w:color="BFDBFE" w:sz="1"/>
              <w:bottom w:val="single" w:color="BFDBFE" w:sz="1"/>
              <w:right w:val="single" w:color="BFDBFE" w:sz="1"/>
            </w:tcBorders>
            <w:shd w:fill="FEF2F2" w:val="clear"/>
            <w:tcMar>
              <w:top w:type="dxa" w:w="100"/>
              <w:left w:type="dxa" w:w="140"/>
              <w:bottom w:type="dxa" w:w="100"/>
              <w:right w:type="dxa" w:w="140"/>
            </w:tcMar>
          </w:tcPr>
          <w:p>
            <w:r>
              <w:rPr>
                <w:rFonts w:ascii="Arial" w:cs="Arial" w:eastAsia="Arial" w:hAnsi="Arial"/>
                <w:b/>
                <w:bCs/>
                <w:color w:val="991B1B"/>
                <w:sz w:val="20"/>
                <w:szCs w:val="20"/>
              </w:rPr>
              <w:t xml:space="preserve">W + T (Mini-Mini)</w:t>
            </w:r>
          </w:p>
        </w:tc>
        <w:tc>
          <w:tcPr>
            <w:tcW w:type="dxa" w:w="7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Minimalizuj uzależnienie od Vinted przez równoległą sprzedaż na Allegro i OLX. Buduj rezerwy finansowe chroniące przed skokami kosztów operacyjnych.</w:t>
            </w:r>
          </w:p>
        </w:tc>
      </w:tr>
    </w:tbl>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10. Model finansowania i wniosek o dofinansowanie</w:t>
      </w:r>
    </w:p>
    <w:p>
      <w:pPr>
        <w:pStyle w:val="Heading2"/>
        <w:spacing w:before="240" w:after="80"/>
      </w:pPr>
      <w:r>
        <w:rPr>
          <w:rFonts w:ascii="Arial" w:cs="Arial" w:eastAsia="Arial" w:hAnsi="Arial"/>
          <w:b/>
          <w:bCs/>
          <w:color w:val="2563EB"/>
          <w:sz w:val="24"/>
          <w:szCs w:val="24"/>
        </w:rPr>
        <w:t xml:space="preserve">10.1. Struktura finansowania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2400"/>
        <w:gridCol w:w="1680"/>
        <w:gridCol w:w="1680"/>
      </w:tblGrid>
      <w:tr>
        <w:tc>
          <w:tcPr>
            <w:tcW w:type="dxa" w:w="3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Źródło finansowania</w:t>
            </w:r>
          </w:p>
        </w:tc>
        <w:tc>
          <w:tcPr>
            <w:tcW w:type="dxa" w:w="2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Przeznaczenie</w:t>
            </w:r>
          </w:p>
        </w:tc>
        <w:tc>
          <w:tcPr>
            <w:tcW w:type="dxa" w:w="16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Kwota (zł)</w:t>
            </w:r>
          </w:p>
        </w:tc>
        <w:tc>
          <w:tcPr>
            <w:tcW w:type="dxa" w:w="16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Udział (%)</w:t>
            </w:r>
          </w:p>
        </w:tc>
      </w:tr>
      <w:tr>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Dofinansowanie z urzędu pracy (PUP)</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Nakłady startowe + kapitał obrotowy</w:t>
            </w:r>
          </w:p>
        </w:tc>
        <w:tc>
          <w:tcPr>
            <w:tcW w:type="dxa" w:w="16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do 25 000</w:t>
            </w:r>
          </w:p>
        </w:tc>
        <w:tc>
          <w:tcPr>
            <w:tcW w:type="dxa" w:w="16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do 72%</w:t>
            </w:r>
          </w:p>
        </w:tc>
      </w:tr>
      <w:tr>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Środki własne właściciela</w:t>
            </w:r>
          </w:p>
        </w:tc>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Uzupełnienie wkładu własnego, rezerwa</w:t>
            </w:r>
          </w:p>
        </w:tc>
        <w:tc>
          <w:tcPr>
            <w:tcW w:type="dxa" w:w="16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3 000–5 000</w:t>
            </w:r>
          </w:p>
        </w:tc>
        <w:tc>
          <w:tcPr>
            <w:tcW w:type="dxa" w:w="16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od 28%</w:t>
            </w:r>
          </w:p>
        </w:tc>
      </w:tr>
      <w:tr>
        <w:tc>
          <w:tcPr>
            <w:tcW w:type="dxa" w:w="3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r>
              <w:rPr>
                <w:rFonts w:ascii="Arial" w:cs="Arial" w:eastAsia="Arial" w:hAnsi="Arial"/>
                <w:b/>
                <w:bCs/>
                <w:color w:val="1A1A2E"/>
                <w:sz w:val="21"/>
                <w:szCs w:val="21"/>
              </w:rPr>
              <w:t xml:space="preserve">ŁĄCZNIE</w:t>
            </w:r>
          </w:p>
        </w:tc>
        <w:tc>
          <w:tcPr>
            <w:tcW w:type="dxa" w:w="2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r>
              <w:rPr>
                <w:rFonts w:ascii="Arial" w:cs="Arial" w:eastAsia="Arial" w:hAnsi="Arial"/>
                <w:sz w:val="21"/>
                <w:szCs w:val="21"/>
              </w:rPr>
              <w:t xml:space="preserve"/>
            </w:r>
          </w:p>
        </w:tc>
        <w:tc>
          <w:tcPr>
            <w:tcW w:type="dxa" w:w="16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pPr>
              <w:jc w:val="center"/>
            </w:pPr>
            <w:r>
              <w:rPr>
                <w:rFonts w:ascii="Arial" w:cs="Arial" w:eastAsia="Arial" w:hAnsi="Arial"/>
                <w:b/>
                <w:bCs/>
                <w:color w:val="1A1A2E"/>
                <w:sz w:val="21"/>
                <w:szCs w:val="21"/>
              </w:rPr>
              <w:t xml:space="preserve">ok. 28 000–30 000</w:t>
            </w:r>
          </w:p>
        </w:tc>
        <w:tc>
          <w:tcPr>
            <w:tcW w:type="dxa" w:w="16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tcPr>
          <w:p>
            <w:pPr>
              <w:jc w:val="center"/>
            </w:pPr>
            <w:r>
              <w:rPr>
                <w:rFonts w:ascii="Arial" w:cs="Arial" w:eastAsia="Arial" w:hAnsi="Arial"/>
                <w:b/>
                <w:bCs/>
                <w:color w:val="1A1A2E"/>
                <w:sz w:val="21"/>
                <w:szCs w:val="21"/>
              </w:rPr>
              <w:t xml:space="preserve">100%</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10.2. Planowane wydatkowanie dofinansowania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360"/>
        <w:gridCol w:w="2000"/>
        <w:gridCol w:w="2000"/>
      </w:tblGrid>
      <w:tr>
        <w:tc>
          <w:tcPr>
            <w:tcW w:type="dxa" w:w="53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Pozycja wydatku</w:t>
            </w:r>
          </w:p>
        </w:tc>
        <w:tc>
          <w:tcPr>
            <w:tcW w:type="dxa" w:w="20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Kwota (zł)</w:t>
            </w:r>
          </w:p>
        </w:tc>
        <w:tc>
          <w:tcPr>
            <w:tcW w:type="dxa" w:w="20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Uzasadnienie</w:t>
            </w:r>
          </w:p>
        </w:tc>
      </w:tr>
      <w:tr>
        <w:tc>
          <w:tcPr>
            <w:tcW w:type="dxa" w:w="5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Zakup towaru (pierwsze partie odzieży używanej)</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8 000–12 000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Kapitał obrotowy</w:t>
            </w:r>
          </w:p>
        </w:tc>
      </w:tr>
      <w:tr>
        <w:tc>
          <w:tcPr>
            <w:tcW w:type="dxa" w:w="5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Sprzęt fotograficzny i studio (tło, oświetlenie)</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1 000–1 500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Środek trwały</w:t>
            </w:r>
          </w:p>
        </w:tc>
      </w:tr>
      <w:tr>
        <w:tc>
          <w:tcPr>
            <w:tcW w:type="dxa" w:w="5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Laptop / komputer (jeśli wymagany)</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0–2 500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Środek trwały</w:t>
            </w:r>
          </w:p>
        </w:tc>
      </w:tr>
      <w:tr>
        <w:tc>
          <w:tcPr>
            <w:tcW w:type="dxa" w:w="5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Stworzenie sklepu internetowego i domena</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500–1 500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Infrastruktura IT</w:t>
            </w:r>
          </w:p>
        </w:tc>
      </w:tr>
      <w:tr>
        <w:tc>
          <w:tcPr>
            <w:tcW w:type="dxa" w:w="5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Materiały pakowe na pierwsze 3 miesiące</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500–800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Materiały zużywalne</w:t>
            </w:r>
          </w:p>
        </w:tc>
      </w:tr>
      <w:tr>
        <w:tc>
          <w:tcPr>
            <w:tcW w:type="dxa" w:w="5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Rezerwa operacyjna (koszty stałe przez 3 miesiące)</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2 500–3 600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Bezpieczeństwo finansowe</w:t>
            </w:r>
          </w:p>
        </w:tc>
      </w:tr>
      <w:tr>
        <w:tc>
          <w:tcPr>
            <w:tcW w:type="dxa" w:w="5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Szkolenie / kurs (marketing online, fotografia produktowa)</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500–1 000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Rozwój kompetencji</w:t>
            </w:r>
          </w:p>
        </w:tc>
      </w:tr>
    </w:tbl>
    <w:p>
      <w:pPr>
        <w:spacing w:before="80" w:after="0"/>
      </w:pPr>
      <w:r>
        <w:t xml:space="preserve"/>
      </w:r>
    </w:p>
    <w:p>
      <w:pPr>
        <w:pBdr>
          <w:left w:val="single" w:color="B45309" w:sz="12" w:space="10"/>
        </w:pBdr>
        <w:spacing w:before="80" w:after="80"/>
        <w:jc w:val="both"/>
      </w:pPr>
      <w:r>
        <w:rPr>
          <w:rFonts w:ascii="Arial" w:cs="Arial" w:eastAsia="Arial" w:hAnsi="Arial"/>
          <w:b/>
          <w:bCs/>
          <w:color w:val="B45309"/>
          <w:sz w:val="21"/>
          <w:szCs w:val="21"/>
        </w:rPr>
        <w:t xml:space="preserve">Ważne zastrzeżenie: </w:t>
      </w:r>
      <w:r>
        <w:rPr>
          <w:rFonts w:ascii="Arial" w:cs="Arial" w:eastAsia="Arial" w:hAnsi="Arial"/>
          <w:color w:val="1A1A2E"/>
          <w:sz w:val="21"/>
          <w:szCs w:val="21"/>
        </w:rPr>
        <w:t xml:space="preserve">Niniejszy biznesplan i wniosek o dofinansowanie nie gwarantuje przyznania dotacji. Decyzja o udzieleniu wsparcia należy wyłącznie do właściwego urzędu pracy lub instytucji finansującej i uzależniona jest od aktualnych środków, kryteriów oceny oraz liczby złożonych wniosków. Ocena niniejszego biznesplanu jest bezpośrednią pochodną oceny audytu biznesowego — negatywna ocena audytu skutkuje negatywną oceną biznesplanu.</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11. Aspekty prawne, podatkowe i compliance</w:t>
      </w:r>
    </w:p>
    <w:p>
      <w:pPr>
        <w:pStyle w:val="Heading2"/>
        <w:spacing w:before="240" w:after="80"/>
      </w:pPr>
      <w:r>
        <w:rPr>
          <w:rFonts w:ascii="Arial" w:cs="Arial" w:eastAsia="Arial" w:hAnsi="Arial"/>
          <w:b/>
          <w:bCs/>
          <w:color w:val="2563EB"/>
          <w:sz w:val="24"/>
          <w:szCs w:val="24"/>
        </w:rPr>
        <w:t xml:space="preserve">11.1. Forma prawna i rejestracja</w:t>
      </w:r>
    </w:p>
    <w:p>
      <w:pPr>
        <w:pStyle w:val="ListParagraph"/>
        <w:numPr>
          <w:ilvl w:val="0"/>
          <w:numId w:val="2"/>
        </w:numPr>
        <w:spacing w:before="40" w:after="40"/>
      </w:pPr>
      <w:r>
        <w:rPr>
          <w:rFonts w:ascii="Arial" w:cs="Arial" w:eastAsia="Arial" w:hAnsi="Arial"/>
          <w:color w:val="1A1A2E"/>
          <w:sz w:val="22"/>
          <w:szCs w:val="22"/>
        </w:rPr>
        <w:t xml:space="preserve">Rejestracja w CEIDG (bezpłatna) lub KRS w przypadku sp. z o.o. (ok. 350–600 zł przez S24)</w:t>
      </w:r>
    </w:p>
    <w:p>
      <w:pPr>
        <w:pStyle w:val="ListParagraph"/>
        <w:numPr>
          <w:ilvl w:val="0"/>
          <w:numId w:val="2"/>
        </w:numPr>
        <w:spacing w:before="40" w:after="40"/>
      </w:pPr>
      <w:r>
        <w:rPr>
          <w:rFonts w:ascii="Arial" w:cs="Arial" w:eastAsia="Arial" w:hAnsi="Arial"/>
          <w:color w:val="1A1A2E"/>
          <w:sz w:val="22"/>
          <w:szCs w:val="22"/>
        </w:rPr>
        <w:t xml:space="preserve">Adres rejestrowy: adres zamieszkania właściciela lub biuro wirtualne (od ok. 50 zł/mies.)</w:t>
      </w:r>
    </w:p>
    <w:p>
      <w:pPr>
        <w:pStyle w:val="ListParagraph"/>
        <w:numPr>
          <w:ilvl w:val="0"/>
          <w:numId w:val="2"/>
        </w:numPr>
        <w:spacing w:before="40" w:after="40"/>
      </w:pPr>
      <w:r>
        <w:rPr>
          <w:rFonts w:ascii="Arial" w:cs="Arial" w:eastAsia="Arial" w:hAnsi="Arial"/>
          <w:color w:val="1A1A2E"/>
          <w:sz w:val="22"/>
          <w:szCs w:val="22"/>
        </w:rPr>
        <w:t xml:space="preserve">Konto firmowe — obowiązkowe przy transakcjach powyżej 15 000 zł; zalecane od startu dla transparentności finansowej</w:t>
      </w:r>
    </w:p>
    <w:p>
      <w:pPr>
        <w:spacing w:before="60" w:after="0"/>
      </w:pPr>
      <w:r>
        <w:t xml:space="preserve"/>
      </w:r>
    </w:p>
    <w:p>
      <w:pPr>
        <w:pStyle w:val="Heading2"/>
        <w:spacing w:before="240" w:after="80"/>
      </w:pPr>
      <w:r>
        <w:rPr>
          <w:rFonts w:ascii="Arial" w:cs="Arial" w:eastAsia="Arial" w:hAnsi="Arial"/>
          <w:b/>
          <w:bCs/>
          <w:color w:val="2563EB"/>
          <w:sz w:val="24"/>
          <w:szCs w:val="24"/>
        </w:rPr>
        <w:t xml:space="preserve">11.2. Opodatkowanie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360"/>
        <w:gridCol w:w="3600"/>
      </w:tblGrid>
      <w:tr>
        <w:tc>
          <w:tcPr>
            <w:tcW w:type="dxa" w:w="2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Forma opodatkowania</w:t>
            </w:r>
          </w:p>
        </w:tc>
        <w:tc>
          <w:tcPr>
            <w:tcW w:type="dxa" w:w="33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Stawka</w:t>
            </w:r>
          </w:p>
        </w:tc>
        <w:tc>
          <w:tcPr>
            <w:tcW w:type="dxa" w:w="3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Rekomendacja dla SecondStyle</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Ryczałt ewidencjonowany</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3% od przychodu (handel detaliczny)</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Zalecany na start — prosta ewidencja, brak KPiR</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Podatek liniowy (KPiR)</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19% od dochodu</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Opłacalny przy wysokich kosztach (&gt;50% przychodu)</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Skala podatkowa</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12% / 32% od dochodu</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Mniej korzystna dla samozatrudnionych</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VAT</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Zwolnienie do 200 000 zł/rok (art. 113)</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Brak rejestracji VAT na start — uproszczenie</w:t>
            </w:r>
          </w:p>
        </w:tc>
      </w:tr>
    </w:tbl>
    <w:p>
      <w:pPr>
        <w:spacing w:before="60" w:after="0"/>
      </w:pPr>
      <w:r>
        <w:t xml:space="preserve"/>
      </w:r>
    </w:p>
    <w:p>
      <w:pPr>
        <w:pStyle w:val="Heading2"/>
        <w:spacing w:before="240" w:after="80"/>
      </w:pPr>
      <w:r>
        <w:rPr>
          <w:rFonts w:ascii="Arial" w:cs="Arial" w:eastAsia="Arial" w:hAnsi="Arial"/>
          <w:b/>
          <w:bCs/>
          <w:color w:val="2563EB"/>
          <w:sz w:val="24"/>
          <w:szCs w:val="24"/>
        </w:rPr>
        <w:t xml:space="preserve">11.3. Składki ZUS</w:t>
      </w:r>
    </w:p>
    <w:p>
      <w:pPr>
        <w:pStyle w:val="ListParagraph"/>
        <w:numPr>
          <w:ilvl w:val="0"/>
          <w:numId w:val="2"/>
        </w:numPr>
        <w:spacing w:before="40" w:after="40"/>
      </w:pPr>
      <w:r>
        <w:rPr>
          <w:rFonts w:ascii="Arial" w:cs="Arial" w:eastAsia="Arial" w:hAnsi="Arial"/>
          <w:color w:val="1A1A2E"/>
          <w:sz w:val="22"/>
          <w:szCs w:val="22"/>
        </w:rPr>
        <w:t xml:space="preserve">Ulga na start — przez pierwsze 6 miesięcy brak składek społecznych (tylko zdrowotna od 03.2022: 314,10 zł/mies.)</w:t>
      </w:r>
    </w:p>
    <w:p>
      <w:pPr>
        <w:pStyle w:val="ListParagraph"/>
        <w:numPr>
          <w:ilvl w:val="0"/>
          <w:numId w:val="2"/>
        </w:numPr>
        <w:spacing w:before="40" w:after="40"/>
      </w:pPr>
      <w:r>
        <w:rPr>
          <w:rFonts w:ascii="Arial" w:cs="Arial" w:eastAsia="Arial" w:hAnsi="Arial"/>
          <w:color w:val="1A1A2E"/>
          <w:sz w:val="22"/>
          <w:szCs w:val="22"/>
        </w:rPr>
        <w:t xml:space="preserve">Mały ZUS / preferencyjny — miesiące 7–30 działalności: składki od 30% minimalnego wynagrodzenia (ok. 331 zł/mies. społeczne + zdrowotna)</w:t>
      </w:r>
    </w:p>
    <w:p>
      <w:pPr>
        <w:pStyle w:val="ListParagraph"/>
        <w:numPr>
          <w:ilvl w:val="0"/>
          <w:numId w:val="2"/>
        </w:numPr>
        <w:spacing w:before="40" w:after="40"/>
      </w:pPr>
      <w:r>
        <w:rPr>
          <w:rFonts w:ascii="Arial" w:cs="Arial" w:eastAsia="Arial" w:hAnsi="Arial"/>
          <w:color w:val="1A1A2E"/>
          <w:sz w:val="22"/>
          <w:szCs w:val="22"/>
        </w:rPr>
        <w:t xml:space="preserve">Pełny ZUS — od 31. miesiąca: ok. 1 600–1 800 zł/mies. łącznie (należy uwzględnić w projekcjach długoterminowych)</w:t>
      </w:r>
    </w:p>
    <w:p>
      <w:pPr>
        <w:spacing w:before="60" w:after="0"/>
      </w:pPr>
      <w:r>
        <w:t xml:space="preserve"/>
      </w:r>
    </w:p>
    <w:p>
      <w:pPr>
        <w:pStyle w:val="Heading2"/>
        <w:spacing w:before="240" w:after="80"/>
      </w:pPr>
      <w:r>
        <w:rPr>
          <w:rFonts w:ascii="Arial" w:cs="Arial" w:eastAsia="Arial" w:hAnsi="Arial"/>
          <w:b/>
          <w:bCs/>
          <w:color w:val="2563EB"/>
          <w:sz w:val="24"/>
          <w:szCs w:val="24"/>
        </w:rPr>
        <w:t xml:space="preserve">11.4. Ochrona danych osobowych (RODO / GDPR)</w:t>
      </w:r>
    </w:p>
    <w:p>
      <w:pPr>
        <w:pStyle w:val="ListParagraph"/>
        <w:numPr>
          <w:ilvl w:val="0"/>
          <w:numId w:val="2"/>
        </w:numPr>
        <w:spacing w:before="40" w:after="40"/>
      </w:pPr>
      <w:r>
        <w:rPr>
          <w:rFonts w:ascii="Arial" w:cs="Arial" w:eastAsia="Arial" w:hAnsi="Arial"/>
          <w:color w:val="1A1A2E"/>
          <w:sz w:val="22"/>
          <w:szCs w:val="22"/>
        </w:rPr>
        <w:t xml:space="preserve">Obowiązek posiadania Polityki Prywatności na stronie sklepu internetowego — dostępne szablony prawne od ok. 200 zł</w:t>
      </w:r>
    </w:p>
    <w:p>
      <w:pPr>
        <w:pStyle w:val="ListParagraph"/>
        <w:numPr>
          <w:ilvl w:val="0"/>
          <w:numId w:val="2"/>
        </w:numPr>
        <w:spacing w:before="40" w:after="40"/>
      </w:pPr>
      <w:r>
        <w:rPr>
          <w:rFonts w:ascii="Arial" w:cs="Arial" w:eastAsia="Arial" w:hAnsi="Arial"/>
          <w:color w:val="1A1A2E"/>
          <w:sz w:val="22"/>
          <w:szCs w:val="22"/>
        </w:rPr>
        <w:t xml:space="preserve">Klauzula informacyjna dla kupujących dotycząca przetwarzania danych (imię, adres dostawy, e-mail)</w:t>
      </w:r>
    </w:p>
    <w:p>
      <w:pPr>
        <w:pStyle w:val="ListParagraph"/>
        <w:numPr>
          <w:ilvl w:val="0"/>
          <w:numId w:val="2"/>
        </w:numPr>
        <w:spacing w:before="40" w:after="40"/>
      </w:pPr>
      <w:r>
        <w:rPr>
          <w:rFonts w:ascii="Arial" w:cs="Arial" w:eastAsia="Arial" w:hAnsi="Arial"/>
          <w:color w:val="1A1A2E"/>
          <w:sz w:val="22"/>
          <w:szCs w:val="22"/>
        </w:rPr>
        <w:t xml:space="preserve">Brak obowiązku wyznaczania Inspektora Ochrony Danych (IOD) przy skali mikroprzedsiębiorcy</w:t>
      </w:r>
    </w:p>
    <w:p>
      <w:pPr>
        <w:pStyle w:val="ListParagraph"/>
        <w:numPr>
          <w:ilvl w:val="0"/>
          <w:numId w:val="2"/>
        </w:numPr>
        <w:spacing w:before="40" w:after="40"/>
      </w:pPr>
      <w:r>
        <w:rPr>
          <w:rFonts w:ascii="Arial" w:cs="Arial" w:eastAsia="Arial" w:hAnsi="Arial"/>
          <w:color w:val="1A1A2E"/>
          <w:sz w:val="22"/>
          <w:szCs w:val="22"/>
        </w:rPr>
        <w:t xml:space="preserve">Platformy Vinted, Allegro, OLX posiadają własne regulaminy — sprzedawca przekazuje im dane w ramach umowy z platformą</w:t>
      </w:r>
    </w:p>
    <w:p>
      <w:pPr>
        <w:spacing w:before="60" w:after="0"/>
      </w:pPr>
      <w:r>
        <w:t xml:space="preserve"/>
      </w:r>
    </w:p>
    <w:p>
      <w:pPr>
        <w:pStyle w:val="Heading2"/>
        <w:spacing w:before="240" w:after="80"/>
      </w:pPr>
      <w:r>
        <w:rPr>
          <w:rFonts w:ascii="Arial" w:cs="Arial" w:eastAsia="Arial" w:hAnsi="Arial"/>
          <w:b/>
          <w:bCs/>
          <w:color w:val="2563EB"/>
          <w:sz w:val="24"/>
          <w:szCs w:val="24"/>
        </w:rPr>
        <w:t xml:space="preserve">11.5. Prawa konsumenta i obowiązki sprzedawcy</w:t>
      </w:r>
    </w:p>
    <w:p>
      <w:pPr>
        <w:pStyle w:val="ListParagraph"/>
        <w:numPr>
          <w:ilvl w:val="0"/>
          <w:numId w:val="2"/>
        </w:numPr>
        <w:spacing w:before="40" w:after="40"/>
      </w:pPr>
      <w:r>
        <w:rPr>
          <w:rFonts w:ascii="Arial" w:cs="Arial" w:eastAsia="Arial" w:hAnsi="Arial"/>
          <w:color w:val="1A1A2E"/>
          <w:sz w:val="22"/>
          <w:szCs w:val="22"/>
        </w:rPr>
        <w:t xml:space="preserve">Prawo do odstąpienia od umowy bez podania przyczyny — 14 dni dla klientów indywidualnych kupujących online</w:t>
      </w:r>
    </w:p>
    <w:p>
      <w:pPr>
        <w:pStyle w:val="ListParagraph"/>
        <w:numPr>
          <w:ilvl w:val="0"/>
          <w:numId w:val="2"/>
        </w:numPr>
        <w:spacing w:before="40" w:after="40"/>
      </w:pPr>
      <w:r>
        <w:rPr>
          <w:rFonts w:ascii="Arial" w:cs="Arial" w:eastAsia="Arial" w:hAnsi="Arial"/>
          <w:color w:val="1A1A2E"/>
          <w:sz w:val="22"/>
          <w:szCs w:val="22"/>
        </w:rPr>
        <w:t xml:space="preserve">Odpowiedzialność z tytułu rękojmi za wady fizyczne — 2 lata od wydania towaru (możliwość skrócenia do 1 roku przy towarach używanych w umowie z konsumentem)</w:t>
      </w:r>
    </w:p>
    <w:p>
      <w:pPr>
        <w:pStyle w:val="ListParagraph"/>
        <w:numPr>
          <w:ilvl w:val="0"/>
          <w:numId w:val="2"/>
        </w:numPr>
        <w:spacing w:before="40" w:after="40"/>
      </w:pPr>
      <w:r>
        <w:rPr>
          <w:rFonts w:ascii="Arial" w:cs="Arial" w:eastAsia="Arial" w:hAnsi="Arial"/>
          <w:color w:val="1A1A2E"/>
          <w:sz w:val="22"/>
          <w:szCs w:val="22"/>
        </w:rPr>
        <w:t xml:space="preserve">Obowiązek wystawiania paragonów / faktur na żądanie klienta — integracja z kasą fiskalną wymagana po przekroczeniu 20 000 zł obrotu</w:t>
      </w:r>
    </w:p>
    <w:p>
      <w:pPr>
        <w:pStyle w:val="ListParagraph"/>
        <w:numPr>
          <w:ilvl w:val="0"/>
          <w:numId w:val="2"/>
        </w:numPr>
        <w:spacing w:before="40" w:after="40"/>
      </w:pPr>
      <w:r>
        <w:rPr>
          <w:rFonts w:ascii="Arial" w:cs="Arial" w:eastAsia="Arial" w:hAnsi="Arial"/>
          <w:color w:val="1A1A2E"/>
          <w:sz w:val="22"/>
          <w:szCs w:val="22"/>
        </w:rPr>
        <w:t xml:space="preserve">Regulamin sklepu — wymagany prawnie przy własnej platformie e-commerce (obowiązki informacyjne wg ustawy o prawach konsumenta)</w:t>
      </w:r>
    </w:p>
    <w:p>
      <w:pPr>
        <w:pStyle w:val="ListParagraph"/>
        <w:numPr>
          <w:ilvl w:val="0"/>
          <w:numId w:val="2"/>
        </w:numPr>
        <w:spacing w:before="40" w:after="40"/>
      </w:pPr>
      <w:r>
        <w:rPr>
          <w:rFonts w:ascii="Arial" w:cs="Arial" w:eastAsia="Arial" w:hAnsi="Arial"/>
          <w:color w:val="1A1A2E"/>
          <w:sz w:val="22"/>
          <w:szCs w:val="22"/>
        </w:rPr>
        <w:t xml:space="preserve">DAC7 (dyrektywa UE) — platformy takie jak Vinted i Allegro raportują dane sprzedawców do urzędów skarbowych od 2024 r.; sprzedawca jest zobowiązany do prawidłowego rozliczania dochodów</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12. Kluczowe wskaźniki efektywności (KPI)</w:t>
      </w:r>
    </w:p>
    <w:p>
      <w:pPr>
        <w:spacing w:before="60" w:after="100"/>
        <w:jc w:val="both"/>
      </w:pPr>
      <w:r>
        <w:rPr>
          <w:rFonts w:ascii="Arial" w:cs="Arial" w:eastAsia="Arial" w:hAnsi="Arial"/>
          <w:color w:val="1A1A2E"/>
          <w:sz w:val="22"/>
          <w:szCs w:val="22"/>
        </w:rPr>
        <w:t xml:space="preserve">Poniższe wskaźniki będą monitorowane co miesiąc w arkuszu kalkulacyjnym i stanowią podstawę do oceny realizacji celów biznesplanu.</w:t>
      </w:r>
    </w:p>
    <w:p>
      <w:pPr>
        <w:spacing w:before="60" w:after="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2200"/>
        <w:gridCol w:w="2000"/>
        <w:gridCol w:w="2560"/>
      </w:tblGrid>
      <w:tr>
        <w:tc>
          <w:tcPr>
            <w:tcW w:type="dxa" w:w="2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Wskaźnik (KPI)</w:t>
            </w:r>
          </w:p>
        </w:tc>
        <w:tc>
          <w:tcPr>
            <w:tcW w:type="dxa" w:w="22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Cel M3</w:t>
            </w:r>
          </w:p>
        </w:tc>
        <w:tc>
          <w:tcPr>
            <w:tcW w:type="dxa" w:w="20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Cel M12</w:t>
            </w:r>
          </w:p>
        </w:tc>
        <w:tc>
          <w:tcPr>
            <w:tcW w:type="dxa" w:w="25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Sposób pomiaru</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Liczba sprzedanych sztuk / miesiąc</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min. 50 szt.</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min. 160 szt.</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Raporty platform + własna ewidencja</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Miesięczny przychód (zł)</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2 000 zł</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6 000 zł</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Suma wyciągów z kont</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Marża brutto (%)</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min. 55%</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min. 60%</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(Przychód – COGS) / Przychód</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Wskaźnik zwrotów (%)</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&lt; 5%</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&lt; 3%</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Liczba zwrotów / sprzedaży</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Średnia ocena sprzedawcy (platf.)</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min. 4,7 / 5</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min. 4,9 / 5</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Profil sprzedawcy Vinted / Allegro</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Czas rotacji towaru (dni)</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&lt; 30 dni</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&lt; 21 dni</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Data wystawienia vs. data sprzedaży</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Liczba aktywnych ofert</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80–120 szt.</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200–300 szt.</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Liczba aktywnych listingów</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Koszt pozyskania klienta (CAC, zł)</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0–5 zł (organicznie)</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&lt; 15 zł</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Budżet reklamy / nowi klienci</w:t>
            </w:r>
          </w:p>
        </w:tc>
      </w:tr>
      <w:tr>
        <w:tc>
          <w:tcPr>
            <w:tcW w:type="dxa" w:w="2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Obserwujący Instagram / TikTok</w:t>
            </w:r>
          </w:p>
        </w:tc>
        <w:tc>
          <w:tcPr>
            <w:tcW w:type="dxa" w:w="22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200+</w:t>
            </w:r>
          </w:p>
        </w:tc>
        <w:tc>
          <w:tcPr>
            <w:tcW w:type="dxa" w:w="20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1 000+</w:t>
            </w:r>
          </w:p>
        </w:tc>
        <w:tc>
          <w:tcPr>
            <w:tcW w:type="dxa" w:w="25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Statystyki profilu społecznościowego</w:t>
            </w:r>
          </w:p>
        </w:tc>
      </w:tr>
    </w:tbl>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13. Plan kadrowy i zasoby ludzkie</w:t>
      </w:r>
    </w:p>
    <w:p>
      <w:pPr>
        <w:pStyle w:val="Heading2"/>
        <w:spacing w:before="240" w:after="80"/>
      </w:pPr>
      <w:r>
        <w:rPr>
          <w:rFonts w:ascii="Arial" w:cs="Arial" w:eastAsia="Arial" w:hAnsi="Arial"/>
          <w:b/>
          <w:bCs/>
          <w:color w:val="2563EB"/>
          <w:sz w:val="24"/>
          <w:szCs w:val="24"/>
        </w:rPr>
        <w:t xml:space="preserve">13.1. Struktura na starcie (0–12 miesięcy)</w:t>
      </w:r>
    </w:p>
    <w:p>
      <w:pPr>
        <w:spacing w:before="60" w:after="100"/>
        <w:jc w:val="both"/>
      </w:pPr>
      <w:r>
        <w:rPr>
          <w:rFonts w:ascii="Arial" w:cs="Arial" w:eastAsia="Arial" w:hAnsi="Arial"/>
          <w:color w:val="1A1A2E"/>
          <w:sz w:val="22"/>
          <w:szCs w:val="22"/>
        </w:rPr>
        <w:t xml:space="preserve">Firma prowadzona jest wyłącznie przez właściciela/założyciela. Zakres obowiązków obejmuje wszystkie funkcje operacyjne: pozyskiwanie towaru, selekcję, fotografię, wystawianie ofert, obsługę klienta, pakowanie i wysyłkę, a także funkcje administracyjne: księgowość (przy wsparciu biura rachunkowego), rozliczenia podatkowe i zarządzanie finansami.</w:t>
      </w:r>
    </w:p>
    <w:p>
      <w:pPr>
        <w:spacing w:before="60" w:after="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360"/>
        <w:gridCol w:w="3600"/>
      </w:tblGrid>
      <w:tr>
        <w:tc>
          <w:tcPr>
            <w:tcW w:type="dxa" w:w="24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Funkcja</w:t>
            </w:r>
          </w:p>
        </w:tc>
        <w:tc>
          <w:tcPr>
            <w:tcW w:type="dxa" w:w="336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Zakres</w:t>
            </w:r>
          </w:p>
        </w:tc>
        <w:tc>
          <w:tcPr>
            <w:tcW w:type="dxa" w:w="3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Realizacja</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Zarządzanie i strategia</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Planowanie, decyzje zakupowe, wyznaczanie cen</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Właściciel</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Pozyskiwanie towaru</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Skup, sortownie, aukcje, negocjacje</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Właściciel</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Przygotowanie towaru</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Selekcja, pranie, prasowanie, drobne naprawy</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Właściciel</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Fotografia i opis</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Zdjęcia, pomiary, publikacja ofert</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Właściciel</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Obsługa klienta</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Odpowiedzi, zwroty, reklamacje, oceny</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Właściciel</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Marketing</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Social media, promowanie ofert</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Właściciel + narzędzia automatyzacji</w:t>
            </w:r>
          </w:p>
        </w:tc>
      </w:tr>
      <w:tr>
        <w:tc>
          <w:tcPr>
            <w:tcW w:type="dxa" w:w="24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Księgowość i podatki</w:t>
            </w:r>
          </w:p>
        </w:tc>
        <w:tc>
          <w:tcPr>
            <w:tcW w:type="dxa" w:w="336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Ewidencja, deklaracje, rozliczenia</w:t>
            </w:r>
          </w:p>
        </w:tc>
        <w:tc>
          <w:tcPr>
            <w:tcW w:type="dxa" w:w="3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Biuro rachunkowe (outsourcing)</w:t>
            </w:r>
          </w:p>
        </w:tc>
      </w:tr>
    </w:tbl>
    <w:p>
      <w:pPr>
        <w:spacing w:before="80" w:after="0"/>
      </w:pPr>
      <w:r>
        <w:t xml:space="preserve"/>
      </w:r>
    </w:p>
    <w:p>
      <w:pPr>
        <w:pStyle w:val="Heading2"/>
        <w:spacing w:before="240" w:after="80"/>
      </w:pPr>
      <w:r>
        <w:rPr>
          <w:rFonts w:ascii="Arial" w:cs="Arial" w:eastAsia="Arial" w:hAnsi="Arial"/>
          <w:b/>
          <w:bCs/>
          <w:color w:val="2563EB"/>
          <w:sz w:val="24"/>
          <w:szCs w:val="24"/>
        </w:rPr>
        <w:t xml:space="preserve">13.2. Plan rozwoju kadrowego (rok 2–3)</w:t>
      </w:r>
    </w:p>
    <w:p>
      <w:pPr>
        <w:pStyle w:val="ListParagraph"/>
        <w:numPr>
          <w:ilvl w:val="0"/>
          <w:numId w:val="2"/>
        </w:numPr>
        <w:spacing w:before="40" w:after="40"/>
      </w:pPr>
      <w:r>
        <w:rPr>
          <w:rFonts w:ascii="Arial" w:cs="Arial" w:eastAsia="Arial" w:hAnsi="Arial"/>
          <w:color w:val="1A1A2E"/>
          <w:sz w:val="22"/>
          <w:szCs w:val="22"/>
        </w:rPr>
        <w:t xml:space="preserve">Miesiąc 12–18: zatrudnienie współpracownika (umowa zlecenia) do pakowania i wysyłek — ok. 1 000–1 500 zł/mies.; odciążenie właściciela pozwoli na skupienie się na pozyskiwaniu i wycenie towaru</w:t>
      </w:r>
    </w:p>
    <w:p>
      <w:pPr>
        <w:pStyle w:val="ListParagraph"/>
        <w:numPr>
          <w:ilvl w:val="0"/>
          <w:numId w:val="2"/>
        </w:numPr>
        <w:spacing w:before="40" w:after="40"/>
      </w:pPr>
      <w:r>
        <w:rPr>
          <w:rFonts w:ascii="Arial" w:cs="Arial" w:eastAsia="Arial" w:hAnsi="Arial"/>
          <w:color w:val="1A1A2E"/>
          <w:sz w:val="22"/>
          <w:szCs w:val="22"/>
        </w:rPr>
        <w:t xml:space="preserve">Miesiąc 18–24: możliwość zatrudnienia asystenta do obsługi klienta i mediów społecznościowych — full-time remote lub part-time</w:t>
      </w:r>
    </w:p>
    <w:p>
      <w:pPr>
        <w:pStyle w:val="ListParagraph"/>
        <w:numPr>
          <w:ilvl w:val="0"/>
          <w:numId w:val="2"/>
        </w:numPr>
        <w:spacing w:before="40" w:after="40"/>
      </w:pPr>
      <w:r>
        <w:rPr>
          <w:rFonts w:ascii="Arial" w:cs="Arial" w:eastAsia="Arial" w:hAnsi="Arial"/>
          <w:color w:val="1A1A2E"/>
          <w:sz w:val="22"/>
          <w:szCs w:val="22"/>
        </w:rPr>
        <w:t xml:space="preserve">Rok 3+: ocena zasadności zatrudnienia pełnoetatowego pracownika i wynajęcia magazynu z prawdziwym studio fotograficznym</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14. Harmonogram wdrożenia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3880"/>
        <w:gridCol w:w="3880"/>
      </w:tblGrid>
      <w:tr>
        <w:tc>
          <w:tcPr>
            <w:tcW w:type="dxa" w:w="160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Okres</w:t>
            </w:r>
          </w:p>
        </w:tc>
        <w:tc>
          <w:tcPr>
            <w:tcW w:type="dxa" w:w="38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Działanie</w:t>
            </w:r>
          </w:p>
        </w:tc>
        <w:tc>
          <w:tcPr>
            <w:tcW w:type="dxa" w:w="3880"/>
            <w:tcBorders>
              <w:top w:val="single" w:color="2563EB" w:sz="1"/>
              <w:left w:val="single" w:color="2563EB" w:sz="1"/>
              <w:bottom w:val="single" w:color="2563EB" w:sz="1"/>
              <w:right w:val="single" w:color="2563EB" w:sz="1"/>
            </w:tcBorders>
            <w:shd w:fill="DBEAFE" w:val="clear"/>
            <w:tcMar>
              <w:top w:type="dxa" w:w="100"/>
              <w:left w:type="dxa" w:w="140"/>
              <w:bottom w:type="dxa" w:w="100"/>
              <w:right w:type="dxa" w:w="140"/>
            </w:tcMar>
            <w:vAlign w:val="center"/>
          </w:tcPr>
          <w:p>
            <w:pPr>
              <w:jc w:val="center"/>
            </w:pPr>
            <w:r>
              <w:rPr>
                <w:rFonts w:ascii="Arial" w:cs="Arial" w:eastAsia="Arial" w:hAnsi="Arial"/>
                <w:b/>
                <w:bCs/>
                <w:color w:val="1A1A2E"/>
                <w:sz w:val="20"/>
                <w:szCs w:val="20"/>
              </w:rPr>
              <w:t xml:space="preserve">Kamień milowy / cel</w:t>
            </w:r>
          </w:p>
        </w:tc>
      </w:tr>
      <w:tr>
        <w:tc>
          <w:tcPr>
            <w:tcW w:type="dxa" w:w="1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Miesiąc 0</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Rejestracja działalności, otwarcie konta firmowego, zakup sprzętu fotograficznego, zakup pierwszej partii towaru, podpisanie umowy z biurem rachunkowym</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Firma zarejestrowana, pierwsze zdjęcia towaru gotowe, polityka prywatności i regulamin sklepu gotowe</w:t>
            </w:r>
          </w:p>
        </w:tc>
      </w:tr>
      <w:tr>
        <w:tc>
          <w:tcPr>
            <w:tcW w:type="dxa" w:w="1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Miesiąc 1</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Wystawienie pierwszych 50–80 sztuk, uruchomienie profili na Vinted i OLX, start Instagrama</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Min. 30 sprzedanych sztuk, pierwsze pozytywne opinie klientów</w:t>
            </w:r>
          </w:p>
        </w:tc>
      </w:tr>
      <w:tr>
        <w:tc>
          <w:tcPr>
            <w:tcW w:type="dxa" w:w="1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Miesiąc 2</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Rozszerzenie oferty do 100+ szt., uruchomienie Allegro, systematyczna aktywność social media (3x / tydzień)</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50 sprzedaży miesięcznie, 10+ ocen 5/5 na platformach</w:t>
            </w:r>
          </w:p>
        </w:tc>
      </w:tr>
      <w:tr>
        <w:tc>
          <w:tcPr>
            <w:tcW w:type="dxa" w:w="1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Miesiąc 3</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Osiągnięcie break-even, uruchomienie własnego sklepu www (landing page + integracja płatności), start budowania listy e-mailowej</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Wynik finansowy &gt; 0, break-even osiągnięty, 200+ obserwujących Instagram</w:t>
            </w:r>
          </w:p>
        </w:tc>
      </w:tr>
      <w:tr>
        <w:tc>
          <w:tcPr>
            <w:tcW w:type="dxa" w:w="1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Miesiące 4–6</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Skalowanie wolumenu zakupowego, testowanie kampanii Meta Ads, pierwsze oceny KPI i korekty cennika</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Stabilny przychód 3 000–5 000 zł / miesiąc, czas rotacji towaru &lt; 25 dni</w:t>
            </w:r>
          </w:p>
        </w:tc>
      </w:tr>
      <w:tr>
        <w:tc>
          <w:tcPr>
            <w:tcW w:type="dxa" w:w="160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center"/>
            </w:pPr>
            <w:r>
              <w:rPr>
                <w:rFonts w:ascii="Arial" w:cs="Arial" w:eastAsia="Arial" w:hAnsi="Arial"/>
                <w:color w:val="1A1A2E"/>
                <w:sz w:val="21"/>
                <w:szCs w:val="21"/>
              </w:rPr>
              <w:t xml:space="preserve">Miesiące 7–12</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Optymalizacja procesów, wdrożenie narzędzia do zarządzania wieloplatformowego (Vendoo lub Crosslist), ocena opcji ekspansji zagranicznej</w:t>
            </w:r>
          </w:p>
        </w:tc>
        <w:tc>
          <w:tcPr>
            <w:tcW w:type="dxa" w:w="3880"/>
            <w:tcBorders>
              <w:top w:val="single" w:color="BFDBFE" w:sz="1"/>
              <w:left w:val="single" w:color="BFDBFE" w:sz="1"/>
              <w:bottom w:val="single" w:color="BFDBFE" w:sz="1"/>
              <w:right w:val="single" w:color="BFDBFE" w:sz="1"/>
            </w:tcBorders>
            <w:shd w:fill="FFFFFF" w:val="clear"/>
            <w:tcMar>
              <w:top w:type="dxa" w:w="80"/>
              <w:left w:type="dxa" w:w="140"/>
              <w:bottom w:type="dxa" w:w="80"/>
              <w:right w:type="dxa" w:w="140"/>
            </w:tcMar>
            <w:vAlign w:val="center"/>
          </w:tcPr>
          <w:p>
            <w:pPr>
              <w:jc w:val="left"/>
            </w:pPr>
            <w:r>
              <w:rPr>
                <w:rFonts w:ascii="Arial" w:cs="Arial" w:eastAsia="Arial" w:hAnsi="Arial"/>
                <w:color w:val="1A1A2E"/>
                <w:sz w:val="21"/>
                <w:szCs w:val="21"/>
              </w:rPr>
              <w:t xml:space="preserve">Przychód 5 000–7 000 zł / miesiąc, 1 000+ obserwujących social media, plan ekspansji gotowy</w:t>
            </w:r>
          </w:p>
        </w:tc>
      </w:tr>
    </w:tbl>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15. Kwalifikacje i zasoby właściciela</w:t>
      </w:r>
    </w:p>
    <w:p>
      <w:pPr>
        <w:spacing w:before="60" w:after="100"/>
        <w:jc w:val="both"/>
      </w:pPr>
      <w:r>
        <w:rPr>
          <w:rFonts w:ascii="Arial" w:cs="Arial" w:eastAsia="Arial" w:hAnsi="Arial"/>
          <w:color w:val="1A1A2E"/>
          <w:sz w:val="22"/>
          <w:szCs w:val="22"/>
        </w:rPr>
        <w:t xml:space="preserve">Właściciel firmy posiada lub zdobędzie kompetencje niezbędne do prowadzenia działalności w zakresie:</w:t>
      </w:r>
    </w:p>
    <w:p>
      <w:pPr>
        <w:spacing w:before="40" w:after="0"/>
      </w:pPr>
      <w:r>
        <w:t xml:space="preserve"/>
      </w:r>
    </w:p>
    <w:p>
      <w:pPr>
        <w:pStyle w:val="ListParagraph"/>
        <w:numPr>
          <w:ilvl w:val="0"/>
          <w:numId w:val="2"/>
        </w:numPr>
        <w:spacing w:before="40" w:after="40"/>
      </w:pPr>
      <w:r>
        <w:rPr>
          <w:rFonts w:ascii="Arial" w:cs="Arial" w:eastAsia="Arial" w:hAnsi="Arial"/>
          <w:color w:val="1A1A2E"/>
          <w:sz w:val="22"/>
          <w:szCs w:val="22"/>
        </w:rPr>
        <w:t xml:space="preserve">znajomości rynku odzieży używanej i zasad wyceny poszczególnych marek i kategorii</w:t>
      </w:r>
    </w:p>
    <w:p>
      <w:pPr>
        <w:pStyle w:val="ListParagraph"/>
        <w:numPr>
          <w:ilvl w:val="0"/>
          <w:numId w:val="2"/>
        </w:numPr>
        <w:spacing w:before="40" w:after="40"/>
      </w:pPr>
      <w:r>
        <w:rPr>
          <w:rFonts w:ascii="Arial" w:cs="Arial" w:eastAsia="Arial" w:hAnsi="Arial"/>
          <w:color w:val="1A1A2E"/>
          <w:sz w:val="22"/>
          <w:szCs w:val="22"/>
        </w:rPr>
        <w:t xml:space="preserve">obsługi platform e-commerce (Vinted, Allegro, OLX) i podstaw pozycjonowania ofert</w:t>
      </w:r>
    </w:p>
    <w:p>
      <w:pPr>
        <w:pStyle w:val="ListParagraph"/>
        <w:numPr>
          <w:ilvl w:val="0"/>
          <w:numId w:val="2"/>
        </w:numPr>
        <w:spacing w:before="40" w:after="40"/>
      </w:pPr>
      <w:r>
        <w:rPr>
          <w:rFonts w:ascii="Arial" w:cs="Arial" w:eastAsia="Arial" w:hAnsi="Arial"/>
          <w:color w:val="1A1A2E"/>
          <w:sz w:val="22"/>
          <w:szCs w:val="22"/>
        </w:rPr>
        <w:t xml:space="preserve">fotografii produktowej na poziomie amatorskim — wystarczającym dla tego typu ofert</w:t>
      </w:r>
    </w:p>
    <w:p>
      <w:pPr>
        <w:pStyle w:val="ListParagraph"/>
        <w:numPr>
          <w:ilvl w:val="0"/>
          <w:numId w:val="2"/>
        </w:numPr>
        <w:spacing w:before="40" w:after="40"/>
      </w:pPr>
      <w:r>
        <w:rPr>
          <w:rFonts w:ascii="Arial" w:cs="Arial" w:eastAsia="Arial" w:hAnsi="Arial"/>
          <w:color w:val="1A1A2E"/>
          <w:sz w:val="22"/>
          <w:szCs w:val="22"/>
        </w:rPr>
        <w:t xml:space="preserve">podstaw obsługi klienta online i zarządzania reputacją sprzedawcy</w:t>
      </w:r>
    </w:p>
    <w:p>
      <w:pPr>
        <w:pStyle w:val="ListParagraph"/>
        <w:numPr>
          <w:ilvl w:val="0"/>
          <w:numId w:val="2"/>
        </w:numPr>
        <w:spacing w:before="40" w:after="40"/>
      </w:pPr>
      <w:r>
        <w:rPr>
          <w:rFonts w:ascii="Arial" w:cs="Arial" w:eastAsia="Arial" w:hAnsi="Arial"/>
          <w:color w:val="1A1A2E"/>
          <w:sz w:val="22"/>
          <w:szCs w:val="22"/>
        </w:rPr>
        <w:t xml:space="preserve">prowadzenia prostej ewidencji przychodów i kosztów (ryczałt / KPiR przy wsparciu biura)</w:t>
      </w:r>
    </w:p>
    <w:p>
      <w:pPr>
        <w:pStyle w:val="ListParagraph"/>
        <w:numPr>
          <w:ilvl w:val="0"/>
          <w:numId w:val="2"/>
        </w:numPr>
        <w:spacing w:before="40" w:after="40"/>
      </w:pPr>
      <w:r>
        <w:rPr>
          <w:rFonts w:ascii="Arial" w:cs="Arial" w:eastAsia="Arial" w:hAnsi="Arial"/>
          <w:color w:val="1A1A2E"/>
          <w:sz w:val="22"/>
          <w:szCs w:val="22"/>
        </w:rPr>
        <w:t xml:space="preserve">podstaw marketingu w mediach społecznościowych (Instagram, TikTok, Facebook Marketplace)</w:t>
      </w:r>
    </w:p>
    <w:p>
      <w:pPr>
        <w:spacing w:before="60" w:after="0"/>
      </w:pPr>
      <w:r>
        <w:t xml:space="preserve"/>
      </w:r>
    </w:p>
    <w:p>
      <w:pPr>
        <w:spacing w:before="60" w:after="100"/>
        <w:jc w:val="both"/>
      </w:pPr>
      <w:r>
        <w:rPr>
          <w:rFonts w:ascii="Arial" w:cs="Arial" w:eastAsia="Arial" w:hAnsi="Arial"/>
          <w:color w:val="1A1A2E"/>
          <w:sz w:val="22"/>
          <w:szCs w:val="22"/>
        </w:rPr>
        <w:t xml:space="preserve">Brak wymaganych licencji, zezwoleń sanepidowskich ani innych koncesji — działalność e-commerce sprzedaży odzieży używanej nie podlega żadnym szczególnym regulacjom branżowym poza standardowymi obowiązkami podatkowymi, konsumenckimi (prawo do zwrotu, rękojmia) oraz wymogami RODO.</w:t>
      </w:r>
    </w:p>
    <w:p>
      <w:pPr>
        <w:spacing w:before="120" w:after="0"/>
      </w:pPr>
      <w:r>
        <w:t xml:space="preserve"/>
      </w:r>
    </w:p>
    <w:p>
      <w:pPr>
        <w:pStyle w:val="Heading1"/>
        <w:pBdr>
          <w:bottom w:val="single" w:color="2563EB" w:sz="6" w:space="4"/>
        </w:pBdr>
        <w:spacing w:before="360" w:after="120"/>
      </w:pPr>
      <w:r>
        <w:rPr>
          <w:rFonts w:ascii="Arial" w:cs="Arial" w:eastAsia="Arial" w:hAnsi="Arial"/>
          <w:b/>
          <w:bCs/>
          <w:color w:val="1A1A2E"/>
          <w:sz w:val="28"/>
          <w:szCs w:val="28"/>
        </w:rPr>
        <w:t xml:space="preserve">16. Podsumowanie i wnioski końcowe</w:t>
      </w:r>
    </w:p>
    <w:p>
      <w:pPr>
        <w:spacing w:before="60" w:after="100"/>
        <w:jc w:val="both"/>
      </w:pPr>
      <w:r>
        <w:rPr>
          <w:rFonts w:ascii="Arial" w:cs="Arial" w:eastAsia="Arial" w:hAnsi="Arial"/>
          <w:color w:val="1A1A2E"/>
          <w:sz w:val="22"/>
          <w:szCs w:val="22"/>
        </w:rPr>
        <w:t xml:space="preserve">SecondStyle to przedsięwzięcie o relatywnie niskim progu wejścia, wpisujące się w silny, długofalowy trend rynkowy. Analiza SWOT potwierdza, że przewagi konkurencyjne (niska struktura kosztów, wysoka marża, elastyczność operacyjna) przy właściwym zarządzaniu pozwalają na skuteczne zneutralizowanie zidentyfikowanych słabości i zagrożeń. Projekcje finansowe wskazują na osiągnięcie rentowności operacyjnej w 3. miesiącu działalności przy konserwatywnych założeniach sprzedażowych.</w:t>
      </w:r>
    </w:p>
    <w:p>
      <w:pPr>
        <w:spacing w:before="60" w:after="0"/>
      </w:pPr>
      <w:r>
        <w:t xml:space="preserve"/>
      </w:r>
    </w:p>
    <w:p>
      <w:pPr>
        <w:spacing w:before="60" w:after="100"/>
        <w:jc w:val="both"/>
      </w:pPr>
      <w:r>
        <w:rPr>
          <w:rFonts w:ascii="Arial" w:cs="Arial" w:eastAsia="Arial" w:hAnsi="Arial"/>
          <w:color w:val="1A1A2E"/>
          <w:sz w:val="22"/>
          <w:szCs w:val="22"/>
        </w:rPr>
        <w:t xml:space="preserve">Ewentualne dofinansowanie z urzędu pracy zostanie przeznaczone wyłącznie na cele opisane w niniejszym biznesplanie — przede wszystkim na zakup towaru stanowiącego kapitał obrotowy oraz infrastruktury niezbędnej do prowadzenia sprzedaży online. Środki te pozwolą na szybsze osiągnięcie progu rentowności i ograniczą ryzyko finansowe w newralgicznych pierwszych miesiącach działalności.</w:t>
      </w:r>
    </w:p>
    <w:p>
      <w:pPr>
        <w:spacing w:before="60" w:after="0"/>
      </w:pPr>
      <w:r>
        <w:t xml:space="preserve"/>
      </w:r>
    </w:p>
    <w:p>
      <w:pPr>
        <w:spacing w:before="60" w:after="100"/>
        <w:jc w:val="both"/>
      </w:pPr>
      <w:r>
        <w:rPr>
          <w:rFonts w:ascii="Arial" w:cs="Arial" w:eastAsia="Arial" w:hAnsi="Arial"/>
          <w:color w:val="1A1A2E"/>
          <w:sz w:val="22"/>
          <w:szCs w:val="22"/>
        </w:rPr>
        <w:t xml:space="preserve">Właściciel firmy jest świadomy realiów rynkowych przedstawionych w niniejszym biznesplanie i zobowiązuje się do prowadzenia działalności zgodnie z opisanym modelem, systematycznego monitorowania wskaźników KPI oraz terminowego wywiązywania się ze zobowiązań podatkowych i prawnych.</w:t>
      </w:r>
    </w:p>
    <w:p>
      <w:pPr>
        <w:spacing w:before="80" w:after="0"/>
      </w:pPr>
      <w:r>
        <w:t xml:space="preserve"/>
      </w:r>
    </w:p>
    <w:p>
      <w:pPr>
        <w:pBdr>
          <w:top w:val="single" w:color="BFDBFE" w:sz="4" w:space="8"/>
          <w:bottom w:val="single" w:color="BFDBFE" w:sz="4" w:space="8"/>
        </w:pBdr>
        <w:spacing w:before="120" w:after="60"/>
        <w:jc w:val="center"/>
      </w:pPr>
      <w:r>
        <w:rPr>
          <w:rFonts w:ascii="Arial" w:cs="Arial" w:eastAsia="Arial" w:hAnsi="Arial"/>
          <w:i/>
          <w:iCs/>
          <w:color w:val="6B7280"/>
          <w:sz w:val="20"/>
          <w:szCs w:val="20"/>
        </w:rPr>
        <w:t xml:space="preserve">Niniejszy biznesplan został opracowany w oparciu o realia rynkowe i rzetelne dane.</w:t>
      </w:r>
    </w:p>
    <w:p>
      <w:pPr>
        <w:spacing w:before="0" w:after="60"/>
        <w:jc w:val="center"/>
      </w:pPr>
      <w:r>
        <w:rPr>
          <w:rFonts w:ascii="Arial" w:cs="Arial" w:eastAsia="Arial" w:hAnsi="Arial"/>
          <w:i/>
          <w:iCs/>
          <w:color w:val="6B7280"/>
          <w:sz w:val="20"/>
          <w:szCs w:val="20"/>
        </w:rPr>
        <w:t xml:space="preserve">Ocena audytu biznesowego bezpośrednio determinuje ocenę niniejszego biznesplanu.</w:t>
      </w:r>
    </w:p>
    <w:p>
      <w:pPr>
        <w:pBdr>
          <w:bottom w:val="single" w:color="BFDBFE" w:sz="4" w:space="8"/>
        </w:pBdr>
        <w:spacing w:before="0" w:after="120"/>
        <w:jc w:val="center"/>
      </w:pPr>
      <w:r>
        <w:rPr>
          <w:rFonts w:ascii="Arial" w:cs="Arial" w:eastAsia="Arial" w:hAnsi="Arial"/>
          <w:i/>
          <w:iCs/>
          <w:color w:val="6B7280"/>
          <w:sz w:val="20"/>
          <w:szCs w:val="20"/>
        </w:rPr>
        <w:t xml:space="preserve">Opracowanie biznesplanu nie gwarantuje przyznania dofinansowania — decyzja należy do instytucji finansującej.</w:t>
      </w:r>
    </w:p>
    <w:sectPr>
      <w:headerReference w:type="default" r:id="rId6"/>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BFDBFE" w:sz="4" w:space="4"/>
      </w:pBdr>
      <w:tabs>
        <w:tab w:val="right" w:pos="9026"/>
      </w:tabs>
      <w:spacing w:before="0"/>
    </w:pPr>
    <w:r>
      <w:rPr>
        <w:rFonts w:ascii="Arial" w:cs="Arial" w:eastAsia="Arial" w:hAnsi="Arial"/>
        <w:color w:val="6B7280"/>
        <w:sz w:val="18"/>
        <w:szCs w:val="18"/>
      </w:rPr>
      <w:t xml:space="preserve">© 2025 SecondStyle — Biznesplan</w:t>
    </w:r>
    <w:r>
      <w:rPr>
        <w:rFonts w:ascii="Arial" w:cs="Arial" w:eastAsia="Arial" w:hAnsi="Arial"/>
        <w:sz w:val="18"/>
        <w:szCs w:val="18"/>
      </w:rPr>
      <w:t xml:space="preserve">	</w:t>
    </w:r>
    <w:r>
      <w:rPr>
        <w:rFonts w:ascii="Arial" w:cs="Arial" w:eastAsia="Arial" w:hAnsi="Arial"/>
        <w:color w:val="6B7280"/>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563EB" w:sz="6" w:space="4"/>
      </w:pBdr>
      <w:tabs>
        <w:tab w:val="right" w:pos="9026"/>
      </w:tabs>
      <w:spacing w:after="0"/>
    </w:pPr>
    <w:r>
      <w:rPr>
        <w:rFonts w:ascii="Arial" w:cs="Arial" w:eastAsia="Arial" w:hAnsi="Arial"/>
        <w:b/>
        <w:bCs/>
        <w:color w:val="6B7280"/>
        <w:sz w:val="18"/>
        <w:szCs w:val="18"/>
      </w:rPr>
      <w:t xml:space="preserve">BIZNESPLAN — SecondStyle Sp. z o.o.</w:t>
    </w:r>
    <w:r>
      <w:rPr>
        <w:rFonts w:ascii="Arial" w:cs="Arial" w:eastAsia="Arial" w:hAnsi="Arial"/>
        <w:sz w:val="18"/>
        <w:szCs w:val="18"/>
      </w:rPr>
      <w:t xml:space="preserve">	</w:t>
    </w:r>
    <w:r>
      <w:rPr>
        <w:rFonts w:ascii="Arial" w:cs="Arial" w:eastAsia="Arial" w:hAnsi="Arial"/>
        <w:color w:val="6B7280"/>
        <w:sz w:val="18"/>
        <w:szCs w:val="18"/>
      </w:rPr>
      <w:t xml:space="preserve">Poufny dokument biznesowy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20"/>
      <w:outlineLvl w:val="0"/>
    </w:pPr>
    <w:rPr>
      <w:rFonts w:ascii="Arial" w:cs="Arial" w:eastAsia="Arial" w:hAnsi="Arial"/>
      <w:b/>
      <w:bCs/>
      <w:color w:val="1A1A2E"/>
      <w:sz w:val="28"/>
      <w:szCs w:val="28"/>
    </w:rPr>
  </w:style>
  <w:style w:type="paragraph" w:styleId="Heading2">
    <w:name w:val="Heading 2"/>
    <w:basedOn w:val="Normal"/>
    <w:next w:val="Normal"/>
    <w:qFormat/>
    <w:pPr>
      <w:spacing w:before="240" w:after="80"/>
      <w:outlineLvl w:val="1"/>
    </w:pPr>
    <w:rPr>
      <w:rFonts w:ascii="Arial" w:cs="Arial" w:eastAsia="Arial" w:hAnsi="Arial"/>
      <w:b/>
      <w:bCs/>
      <w:color w:val="2563E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2026-03-30T08:13:05.355Z</dcterms:created>
  <dcterms:modified xsi:type="dcterms:W3CDTF">2026-03-30T08:13:05.356Z</dcterms:modified>
</cp:coreProperties>
</file>

<file path=docProps/custom.xml><?xml version="1.0" encoding="utf-8"?>
<Properties xmlns="http://schemas.openxmlformats.org/officeDocument/2006/custom-properties" xmlns:vt="http://schemas.openxmlformats.org/officeDocument/2006/docPropsVTypes"/>
</file>